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73" w:rsidRDefault="00880C73" w:rsidP="00880C73">
      <w:pPr>
        <w:jc w:val="center"/>
        <w:rPr>
          <w:rFonts w:ascii="Century" w:hAnsi="Century" w:cs="Arial"/>
          <w:b/>
        </w:rPr>
      </w:pPr>
    </w:p>
    <w:p w:rsidR="00880C73" w:rsidRDefault="00880C73" w:rsidP="00880C73">
      <w:pPr>
        <w:jc w:val="center"/>
        <w:rPr>
          <w:rFonts w:ascii="Century" w:hAnsi="Century" w:cs="Arial"/>
          <w:b/>
        </w:rPr>
      </w:pPr>
      <w:r>
        <w:rPr>
          <w:rFonts w:ascii="Century" w:hAnsi="Century" w:cs="Arial"/>
          <w:b/>
        </w:rPr>
        <w:t>ATA DE AUDIÊNCIA PÚBLICA</w:t>
      </w:r>
    </w:p>
    <w:p w:rsidR="00880C73" w:rsidRDefault="00880C73" w:rsidP="00880C73">
      <w:pPr>
        <w:jc w:val="center"/>
        <w:rPr>
          <w:rFonts w:ascii="Arial" w:hAnsi="Arial" w:cs="Times New Roman"/>
        </w:rPr>
      </w:pPr>
    </w:p>
    <w:p w:rsidR="00880C73" w:rsidRDefault="00880C73" w:rsidP="00880C7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Metas Fiscais do Segundo Quadrimestre de 2020</w:t>
      </w:r>
    </w:p>
    <w:p w:rsidR="00880C73" w:rsidRDefault="00880C73" w:rsidP="00880C73">
      <w:pPr>
        <w:tabs>
          <w:tab w:val="left" w:pos="180"/>
        </w:tabs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 xml:space="preserve">Aos vinte e oito dias do mês de setembro de dois mil e vinte, às 14:00 horas, reuniram-se na Sala das Sessões da Câmara Municipal de Vereadores de Nova Roma do Sul os responsáveis pela realização da audiência pública de demonstração e Avaliação das Metas Fiscais do segundo Quadrimestre de 2020, para gravação e transmissão ao vivo pelo site e </w:t>
      </w:r>
      <w:proofErr w:type="spellStart"/>
      <w:r>
        <w:rPr>
          <w:rFonts w:ascii="Arial" w:hAnsi="Arial"/>
        </w:rPr>
        <w:t>Facebook</w:t>
      </w:r>
      <w:proofErr w:type="spellEnd"/>
      <w:r>
        <w:rPr>
          <w:rFonts w:ascii="Arial" w:hAnsi="Arial"/>
        </w:rPr>
        <w:t xml:space="preserve">. Dando início aos trabalhos, esclareceu-se, inicialmente, que nos termos do art. 48 da Lei de Responsabilidade Fiscal, que dispõe sobre as audiências públicas, estas teriam por objetivo possibilitar a participação popular na definição dos planos e investimentos públicos municipais; informar a população sobre o planejamento municipal e a execução dos programas; assegurar a participação popular na definição dos investimentos através de votação; demonstrar e avaliar o cumprimento das metas fiscais e físicas estabelecidas na Lei de Diretrizes Orçamentárias </w:t>
      </w:r>
      <w:r>
        <w:rPr>
          <w:rFonts w:ascii="Arial" w:hAnsi="Arial"/>
        </w:rPr>
        <w:softHyphen/>
        <w:t xml:space="preserve"> LDO e na Lei Orçamentária Anual </w:t>
      </w:r>
      <w:r>
        <w:rPr>
          <w:rFonts w:ascii="Arial" w:hAnsi="Arial"/>
        </w:rPr>
        <w:softHyphen/>
        <w:t xml:space="preserve"> LOA.  Ainda foi informado que, conforme o disposto no § 4º do artigo 9º da Lei de Responsabilidade Fiscal, até o final dos meses de maio, setembro e fevereiro o Poder Executivo demonstrará e avaliará o cumprimento das metas fiscais de cada quadrimestre, em Audiência Pública na Comissão referida no § 1º do art. 166 da Constituição Federal, ou equivalente nas Casas Legislativas estaduais e municipais.  Assim, ressaltou-se que a Audiência Pública ora realizada destinava-se à demonstração e avaliação do cumprimento das metas fiscais do Segundo Quadrimestre de 2020, por parte do Executivo Municipal. Iniciando a apresentação, o vereador </w:t>
      </w:r>
      <w:proofErr w:type="spellStart"/>
      <w:r>
        <w:rPr>
          <w:rFonts w:ascii="Arial" w:hAnsi="Arial"/>
        </w:rPr>
        <w:t>Zelvir</w:t>
      </w:r>
      <w:proofErr w:type="spellEnd"/>
      <w:r>
        <w:rPr>
          <w:rFonts w:ascii="Arial" w:hAnsi="Arial"/>
        </w:rPr>
        <w:t xml:space="preserve"> Anselmo </w:t>
      </w:r>
      <w:proofErr w:type="spellStart"/>
      <w:r>
        <w:rPr>
          <w:rFonts w:ascii="Arial" w:hAnsi="Arial"/>
        </w:rPr>
        <w:t>Santi</w:t>
      </w:r>
      <w:proofErr w:type="spellEnd"/>
      <w:r>
        <w:rPr>
          <w:rFonts w:ascii="Arial" w:hAnsi="Arial"/>
        </w:rPr>
        <w:t xml:space="preserve"> deu as boas-vindas a todos e fez uma pequena explanação de como seriam conduzidos os trabalhos.  Dando continuidade, passou a palavra a contadora Graciela Tessaro onde passou a apresentar as Metas Fiscais realizadas no período. O material foi disponibilizado no site e cópias impressas da Avaliação das Metas Fiscais onde a mesma se encontra anexada a presente ata, foram destacados os seguintes resultados: </w:t>
      </w:r>
    </w:p>
    <w:p w:rsidR="00880C73" w:rsidRDefault="00880C73" w:rsidP="00880C73">
      <w:pPr>
        <w:tabs>
          <w:tab w:val="left" w:pos="180"/>
        </w:tabs>
        <w:spacing w:before="240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Analisando as Metas de Arrecadação apresentadas, constatou-se que a previsão da Receita Corrente é R$ </w:t>
      </w:r>
      <w:r>
        <w:rPr>
          <w:rFonts w:ascii="Arial" w:hAnsi="Arial" w:cs="Arial"/>
          <w:b/>
          <w:color w:val="FF0000"/>
        </w:rPr>
        <w:t xml:space="preserve">16.919.573,33 </w:t>
      </w:r>
      <w:r>
        <w:rPr>
          <w:rFonts w:ascii="Arial" w:hAnsi="Arial" w:cs="Arial"/>
          <w:color w:val="000000" w:themeColor="text1"/>
        </w:rPr>
        <w:t>e a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/>
        </w:rPr>
        <w:t xml:space="preserve">Receitas de Capital R$ 33.333,33. Já a receita realizada registrou R$ </w:t>
      </w:r>
      <w:r>
        <w:rPr>
          <w:rFonts w:ascii="Arial" w:hAnsi="Arial"/>
          <w:b/>
          <w:color w:val="FF0000"/>
        </w:rPr>
        <w:t xml:space="preserve">15.418.992,64 </w:t>
      </w:r>
      <w:r>
        <w:rPr>
          <w:rFonts w:ascii="Arial" w:hAnsi="Arial"/>
        </w:rPr>
        <w:t xml:space="preserve">para as Receitas Correntes e </w:t>
      </w:r>
      <w:r>
        <w:rPr>
          <w:rFonts w:ascii="Arial" w:hAnsi="Arial"/>
          <w:color w:val="FF0000"/>
        </w:rPr>
        <w:t xml:space="preserve">R$ 466.834,04 </w:t>
      </w:r>
      <w:r>
        <w:rPr>
          <w:rFonts w:ascii="Arial" w:hAnsi="Arial"/>
          <w:b/>
          <w:color w:val="FF0000"/>
        </w:rPr>
        <w:t>para</w:t>
      </w:r>
      <w:r>
        <w:rPr>
          <w:rFonts w:ascii="Arial" w:hAnsi="Arial"/>
        </w:rPr>
        <w:t xml:space="preserve"> as Receitas de Capital, que resultou numa arrecadação de Receita Primária Total em R</w:t>
      </w:r>
      <w:r>
        <w:rPr>
          <w:rFonts w:ascii="Arial" w:hAnsi="Arial"/>
          <w:b/>
        </w:rPr>
        <w:t xml:space="preserve">$ </w:t>
      </w:r>
      <w:r>
        <w:rPr>
          <w:rFonts w:ascii="Arial" w:hAnsi="Arial"/>
          <w:b/>
          <w:color w:val="538135" w:themeColor="accent6" w:themeShade="BF"/>
        </w:rPr>
        <w:t>14.778.439,12.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Na confrontação das Receitas Arrecadadas com as Despesas Liquidadas, apuraram-se valores positivos, ou seja, enquanto as receitas do período registraram a cifra de </w:t>
      </w:r>
      <w:r>
        <w:rPr>
          <w:rFonts w:ascii="Arial" w:hAnsi="Arial"/>
          <w:b/>
        </w:rPr>
        <w:t>R$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/>
          <w:color w:val="538135" w:themeColor="accent6" w:themeShade="BF"/>
        </w:rPr>
        <w:t xml:space="preserve">17.331.512,60 </w:t>
      </w:r>
      <w:r>
        <w:rPr>
          <w:rFonts w:ascii="Arial" w:hAnsi="Arial"/>
        </w:rPr>
        <w:t>as despesas contabilizaram a soma de R</w:t>
      </w:r>
      <w:r>
        <w:rPr>
          <w:rFonts w:ascii="Arial" w:hAnsi="Arial"/>
          <w:b/>
        </w:rPr>
        <w:t xml:space="preserve">$ </w:t>
      </w:r>
      <w:r>
        <w:rPr>
          <w:rFonts w:ascii="Arial" w:hAnsi="Arial"/>
          <w:b/>
          <w:color w:val="538135" w:themeColor="accent6" w:themeShade="BF"/>
        </w:rPr>
        <w:t>14.888.932,77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 xml:space="preserve">restando um superávit orçamentário de R$ </w:t>
      </w:r>
      <w:r>
        <w:rPr>
          <w:rFonts w:ascii="Arial" w:hAnsi="Arial"/>
          <w:b/>
          <w:color w:val="538135" w:themeColor="accent6" w:themeShade="BF"/>
        </w:rPr>
        <w:t>2.442.579,83</w:t>
      </w:r>
      <w:r>
        <w:rPr>
          <w:rFonts w:ascii="Arial" w:hAnsi="Arial"/>
        </w:rPr>
        <w:t xml:space="preserve">. Os dados do Resultado Primário registraram até o Segundo quadrimestre o valor de R$ (473.956,51). O Demonstrativo do Resultado Nominal apresentado na Audiência registrou ao término do período a importância de 326.777,03. Em relação à Dívida Pública Consolidada, constatou-se saldo de operação de Crédito no valor de R$ 329.774,96, menos as disponibilidades financeiras de </w:t>
      </w:r>
      <w:r>
        <w:rPr>
          <w:rFonts w:ascii="Arial" w:hAnsi="Arial"/>
          <w:b/>
        </w:rPr>
        <w:t xml:space="preserve">R$ </w:t>
      </w:r>
      <w:r>
        <w:rPr>
          <w:rFonts w:ascii="Arial" w:hAnsi="Arial"/>
          <w:b/>
          <w:color w:val="FF0000"/>
        </w:rPr>
        <w:t xml:space="preserve">2.890.292,99 </w:t>
      </w:r>
      <w:r>
        <w:rPr>
          <w:rFonts w:ascii="Arial" w:hAnsi="Arial"/>
          <w:color w:val="000000" w:themeColor="text1"/>
        </w:rPr>
        <w:t>e restos a pagar processados R$ 93.284,03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 xml:space="preserve">resultando em R$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color w:val="FF0000"/>
        </w:rPr>
        <w:t>2.467.234,00)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No tocante aos índices de Saúde ficou </w:t>
      </w:r>
      <w:r>
        <w:rPr>
          <w:rFonts w:ascii="Arial" w:hAnsi="Arial"/>
        </w:rPr>
        <w:lastRenderedPageBreak/>
        <w:t xml:space="preserve">demonstrado que a aplicação foi de </w:t>
      </w:r>
      <w:r>
        <w:rPr>
          <w:rFonts w:ascii="Arial" w:hAnsi="Arial"/>
          <w:b/>
          <w:color w:val="538135" w:themeColor="accent6" w:themeShade="BF"/>
        </w:rPr>
        <w:t xml:space="preserve">18,32%, </w:t>
      </w:r>
      <w:r>
        <w:rPr>
          <w:rFonts w:ascii="Arial" w:hAnsi="Arial"/>
          <w:color w:val="538135" w:themeColor="accent6" w:themeShade="BF"/>
        </w:rPr>
        <w:t>atingindo</w:t>
      </w:r>
      <w:r>
        <w:rPr>
          <w:rFonts w:ascii="Arial" w:hAnsi="Arial"/>
        </w:rPr>
        <w:t xml:space="preserve"> no 2° quadrimestre ao disposto no artigo198 da Constituição Federal, combinado com o disposto no § 1º do artigo 77, do Ato das Disposições Constitucionais Transitórias – ADCT, o mínimo anual é de 15%. Já em relação aos dispêndios com educação, estes representaram </w:t>
      </w:r>
      <w:r>
        <w:rPr>
          <w:rFonts w:ascii="Arial" w:hAnsi="Arial"/>
          <w:b/>
          <w:color w:val="538135" w:themeColor="accent6" w:themeShade="BF"/>
        </w:rPr>
        <w:t>22,38%</w:t>
      </w:r>
      <w:r>
        <w:rPr>
          <w:rFonts w:ascii="Arial" w:hAnsi="Arial"/>
          <w:color w:val="538135" w:themeColor="accent6" w:themeShade="BF"/>
        </w:rPr>
        <w:t xml:space="preserve">, </w:t>
      </w:r>
      <w:r>
        <w:rPr>
          <w:rFonts w:ascii="Arial" w:hAnsi="Arial"/>
        </w:rPr>
        <w:t xml:space="preserve">da Receita Resultante de Impostos, não atingindo no quadrimestre o estabelecido no Artigo 212 da Constituição Federal no 2° quadrimestre, o mínimo anual é de 25%. Também foi demonstrada na Audiência a situação com relação aos gastos de pessoal. O Poder Executivo apresentou um dispêndio de </w:t>
      </w:r>
      <w:r>
        <w:rPr>
          <w:rFonts w:ascii="Arial" w:hAnsi="Arial"/>
          <w:b/>
          <w:color w:val="538135" w:themeColor="accent6" w:themeShade="BF"/>
        </w:rPr>
        <w:t xml:space="preserve">39,13% </w:t>
      </w:r>
      <w:r>
        <w:rPr>
          <w:rFonts w:ascii="Arial" w:hAnsi="Arial"/>
        </w:rPr>
        <w:t xml:space="preserve">da receita Corrente     Líquida      do Município, comprovando desta forma </w:t>
      </w:r>
      <w:r>
        <w:rPr>
          <w:rFonts w:ascii="Arial" w:hAnsi="Arial"/>
          <w:b/>
        </w:rPr>
        <w:t xml:space="preserve">estar </w:t>
      </w:r>
      <w:r>
        <w:rPr>
          <w:rFonts w:ascii="Arial" w:hAnsi="Arial"/>
        </w:rPr>
        <w:t xml:space="preserve">cumprindo   o   limite estabelecido   no Artigo 20, inciso III, alínea “a”', da Lei de Responsabilidade Fiscal. Já os gastos de    pessoal do Poder   Legislativo foram   de </w:t>
      </w:r>
      <w:r>
        <w:rPr>
          <w:rFonts w:ascii="Arial" w:hAnsi="Arial"/>
          <w:b/>
          <w:color w:val="538135" w:themeColor="accent6" w:themeShade="BF"/>
        </w:rPr>
        <w:t>1,61</w:t>
      </w:r>
      <w:r>
        <w:rPr>
          <w:rFonts w:ascii="Arial" w:hAnsi="Arial"/>
          <w:b/>
        </w:rPr>
        <w:t>%,</w:t>
      </w:r>
      <w:r>
        <w:rPr>
          <w:rFonts w:ascii="Arial" w:hAnsi="Arial"/>
        </w:rPr>
        <w:t xml:space="preserve"> da Receita Corrente Líquida do Município, comprovando desta forma o </w:t>
      </w:r>
      <w:r>
        <w:rPr>
          <w:rFonts w:ascii="Arial" w:hAnsi="Arial"/>
          <w:b/>
        </w:rPr>
        <w:t xml:space="preserve">cumprimento em parte </w:t>
      </w:r>
      <w:r>
        <w:rPr>
          <w:rFonts w:ascii="Arial" w:hAnsi="Arial"/>
        </w:rPr>
        <w:t xml:space="preserve">do limite estabelecido no Artigo 20, inciso III, alínea 'b', da LRF. No espaço aberto para os questionamentos, não houve manifestações. Assim, estando apresentados os quadros demonstrativos das Metas Fiscais e não mais havendo questionamentos o vereador agradeceu a presença de todos e nada mais havendo a tratar encerrou a audiência, da qual se lavrou à presente Ata, que passa a ser assinada pelos presentes e anexado </w:t>
      </w:r>
      <w:proofErr w:type="spellStart"/>
      <w:r>
        <w:rPr>
          <w:rFonts w:ascii="Arial" w:hAnsi="Arial"/>
        </w:rPr>
        <w:t>printscr</w:t>
      </w:r>
      <w:proofErr w:type="spellEnd"/>
      <w:r>
        <w:rPr>
          <w:rFonts w:ascii="Arial" w:hAnsi="Arial"/>
        </w:rPr>
        <w:t xml:space="preserve"> da transmissão ao vivo. Sala de Sessões, 28 de setembro de 2020.   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sectPr w:rsidR="003F63A1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D8" w:rsidRDefault="001851D8" w:rsidP="003C0D81">
      <w:pPr>
        <w:spacing w:after="0" w:line="240" w:lineRule="auto"/>
      </w:pPr>
      <w:r>
        <w:separator/>
      </w:r>
    </w:p>
  </w:endnote>
  <w:endnote w:type="continuationSeparator" w:id="0">
    <w:p w:rsidR="001851D8" w:rsidRDefault="001851D8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D8" w:rsidRDefault="001851D8" w:rsidP="003C0D81">
      <w:pPr>
        <w:spacing w:after="0" w:line="240" w:lineRule="auto"/>
      </w:pPr>
      <w:r>
        <w:separator/>
      </w:r>
    </w:p>
  </w:footnote>
  <w:footnote w:type="continuationSeparator" w:id="0">
    <w:p w:rsidR="001851D8" w:rsidRDefault="001851D8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71AED"/>
    <w:rsid w:val="0008542B"/>
    <w:rsid w:val="00100388"/>
    <w:rsid w:val="001851D8"/>
    <w:rsid w:val="001C148B"/>
    <w:rsid w:val="00293CE9"/>
    <w:rsid w:val="00353AE1"/>
    <w:rsid w:val="003C0D81"/>
    <w:rsid w:val="003F63A1"/>
    <w:rsid w:val="004E32A6"/>
    <w:rsid w:val="0050315B"/>
    <w:rsid w:val="00535061"/>
    <w:rsid w:val="00656F59"/>
    <w:rsid w:val="00714659"/>
    <w:rsid w:val="00736B79"/>
    <w:rsid w:val="007B6DB4"/>
    <w:rsid w:val="007D6578"/>
    <w:rsid w:val="00814168"/>
    <w:rsid w:val="00880C73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B42B82"/>
    <w:rsid w:val="00BC4412"/>
    <w:rsid w:val="00C62375"/>
    <w:rsid w:val="00CC51F9"/>
    <w:rsid w:val="00CC5B43"/>
    <w:rsid w:val="00CD46A2"/>
    <w:rsid w:val="00D47D85"/>
    <w:rsid w:val="00D56F80"/>
    <w:rsid w:val="00DD1163"/>
    <w:rsid w:val="00DE4C28"/>
    <w:rsid w:val="00E02ED5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2020-09-28T12:42:00Z</cp:lastPrinted>
  <dcterms:created xsi:type="dcterms:W3CDTF">2020-09-28T12:43:00Z</dcterms:created>
  <dcterms:modified xsi:type="dcterms:W3CDTF">2020-09-28T12:43:00Z</dcterms:modified>
</cp:coreProperties>
</file>