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E09" w:rsidRDefault="00923E09" w:rsidP="00923E09">
      <w:pPr>
        <w:jc w:val="center"/>
        <w:rPr>
          <w:rFonts w:ascii="Century" w:hAnsi="Century" w:cs="Arial"/>
          <w:b/>
        </w:rPr>
      </w:pPr>
    </w:p>
    <w:p w:rsidR="00923E09" w:rsidRDefault="00923E09" w:rsidP="00923E09">
      <w:pPr>
        <w:jc w:val="center"/>
        <w:rPr>
          <w:rFonts w:ascii="Century" w:hAnsi="Century" w:cs="Arial"/>
          <w:b/>
        </w:rPr>
      </w:pPr>
    </w:p>
    <w:p w:rsidR="00923E09" w:rsidRDefault="00923E09" w:rsidP="00923E09">
      <w:pPr>
        <w:jc w:val="center"/>
        <w:rPr>
          <w:rFonts w:ascii="Century" w:hAnsi="Century" w:cs="Arial"/>
          <w:b/>
        </w:rPr>
      </w:pPr>
      <w:r>
        <w:rPr>
          <w:rFonts w:ascii="Century" w:hAnsi="Century" w:cs="Arial"/>
          <w:b/>
        </w:rPr>
        <w:t>ATA DE AUDIÊNCIA PÚBLICA</w:t>
      </w:r>
    </w:p>
    <w:p w:rsidR="00923E09" w:rsidRDefault="00923E09" w:rsidP="00923E09">
      <w:pPr>
        <w:jc w:val="center"/>
        <w:rPr>
          <w:rFonts w:ascii="Century" w:hAnsi="Century" w:cs="Arial"/>
          <w:b/>
        </w:rPr>
      </w:pPr>
    </w:p>
    <w:p w:rsidR="00923E09" w:rsidRDefault="00923E09" w:rsidP="00923E09">
      <w:pPr>
        <w:jc w:val="center"/>
        <w:rPr>
          <w:rFonts w:ascii="Arial" w:hAnsi="Arial"/>
          <w:sz w:val="22"/>
        </w:rPr>
      </w:pPr>
    </w:p>
    <w:p w:rsidR="00923E09" w:rsidRDefault="00923E09" w:rsidP="00923E09">
      <w:pPr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Metas Fiscais do Primeiro Quadrimestre de 2019</w:t>
      </w:r>
    </w:p>
    <w:p w:rsidR="00923E09" w:rsidRDefault="00923E09" w:rsidP="00923E09">
      <w:pPr>
        <w:jc w:val="center"/>
        <w:rPr>
          <w:rFonts w:ascii="Arial" w:hAnsi="Arial"/>
          <w:b/>
          <w:sz w:val="22"/>
        </w:rPr>
      </w:pPr>
    </w:p>
    <w:p w:rsidR="00923E09" w:rsidRDefault="00923E09" w:rsidP="00923E09">
      <w:pPr>
        <w:tabs>
          <w:tab w:val="left" w:pos="180"/>
        </w:tabs>
        <w:spacing w:before="24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Aos vinte e dois dias do mês de maio de dois mil e dezanove, às 20:00 horas, reuniram-se na Sala das Sessões da Câmara Municipal de Vereadores de Nova Roma do Sul, sob a coordenação do Presidente da Câmara Municipal Sr. José Luiz </w:t>
      </w:r>
      <w:proofErr w:type="spellStart"/>
      <w:r>
        <w:rPr>
          <w:rFonts w:ascii="Arial" w:hAnsi="Arial"/>
          <w:sz w:val="22"/>
        </w:rPr>
        <w:t>Comin</w:t>
      </w:r>
      <w:proofErr w:type="spellEnd"/>
      <w:r>
        <w:rPr>
          <w:rFonts w:ascii="Arial" w:hAnsi="Arial"/>
          <w:sz w:val="22"/>
        </w:rPr>
        <w:t xml:space="preserve">, os responsáveis pela realização da audiência pública de demonstração e Avaliação das Metas Fiscais do primeiro Quadrimestre de 2019.  Dando início aos trabalhos, esclareceu-se, inicialmente, que nos termos do art. 48 da Lei de Responsabilidade Fiscal, que dispõe sobre as audiências públicas, estas teriam por objetivo possibilitar a participação popular na definição dos planos e investimentos públicos municipais; informar a população sobre o planejamento municipal e a execução dos programas; assegurar a participação popular na definição dos investimentos através de votação; demonstrar e avaliar o cumprimento das metas fiscais e físicas estabelecidas na Lei de Diretrizes Orçamentárias </w:t>
      </w:r>
      <w:r>
        <w:rPr>
          <w:rFonts w:ascii="Arial" w:hAnsi="Arial"/>
          <w:sz w:val="22"/>
        </w:rPr>
        <w:softHyphen/>
        <w:t xml:space="preserve"> LDO e na Lei Orçamentária Anual </w:t>
      </w:r>
      <w:r>
        <w:rPr>
          <w:rFonts w:ascii="Arial" w:hAnsi="Arial"/>
          <w:sz w:val="22"/>
        </w:rPr>
        <w:softHyphen/>
        <w:t xml:space="preserve"> LOA.  Ainda foi informado aos presentes que, conforme o disposto no § 4º do artigo 9º da Lei de Responsabilidade Fiscal, até o final dos meses de maio, setembro e fevereiro o Poder Executivo demonstrará e avaliará o cumprimento das metas fiscais de cada quadrimestre, em Audiência Pública na Comissão referida no § 1º do art. 166 da Constituição Federal, ou equivalente nas Casas Legislativas estaduais e municipais.  Assim, ressaltou-se que a Audiência Pública ora realizada destinava-se à demonstração e avaliação do cumprimento das metas fiscais do Primeiro Quadrimestre de 2019, por parte do Executivo Municipal. Iniciando a apresentação, o vice-prefeito Roberto Panazzolo deu as boas-vindas a todos e fez uma pequena explanação de como seriam conduzidos os trabalhos.  Dando continuidade, passou a palavra a contadora Graciela Tessaro onde passou a apresentar as Metas Fiscais realizadas no período, através do uso de projetor multimídia. Foram entregue aos participantes cópia da Avaliação das Metas Fiscais onde a mesma se encontra anexada a presente ata, foram destacados os seguintes resultados: </w:t>
      </w:r>
    </w:p>
    <w:p w:rsidR="00923E09" w:rsidRDefault="00923E09" w:rsidP="00923E09">
      <w:pPr>
        <w:tabs>
          <w:tab w:val="left" w:pos="180"/>
        </w:tabs>
        <w:spacing w:before="24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Analisando as Metas de Arrecadação apresentadas, constatou-se que a Receita Fiscal Liquida Prevista para o período era de R$ </w:t>
      </w:r>
      <w:r>
        <w:rPr>
          <w:rFonts w:ascii="Arial" w:hAnsi="Arial"/>
          <w:b/>
          <w:color w:val="538135" w:themeColor="accent6" w:themeShade="BF"/>
          <w:sz w:val="22"/>
        </w:rPr>
        <w:t xml:space="preserve">5.563.483,33 </w:t>
      </w:r>
      <w:r>
        <w:rPr>
          <w:rFonts w:ascii="Arial" w:hAnsi="Arial"/>
          <w:sz w:val="22"/>
        </w:rPr>
        <w:t xml:space="preserve">sendo R$ </w:t>
      </w:r>
      <w:r>
        <w:rPr>
          <w:rFonts w:ascii="Arial" w:hAnsi="Arial"/>
          <w:b/>
          <w:color w:val="FF0000"/>
          <w:sz w:val="22"/>
        </w:rPr>
        <w:t xml:space="preserve">7.476.800,00 </w:t>
      </w:r>
      <w:r>
        <w:rPr>
          <w:rFonts w:ascii="Arial" w:hAnsi="Arial"/>
          <w:sz w:val="22"/>
        </w:rPr>
        <w:t xml:space="preserve">de Receitas Correntes e R$ </w:t>
      </w:r>
      <w:r>
        <w:rPr>
          <w:rFonts w:ascii="Arial" w:hAnsi="Arial" w:cs="Arial"/>
          <w:b/>
          <w:color w:val="FF0000"/>
          <w:sz w:val="22"/>
          <w:szCs w:val="22"/>
        </w:rPr>
        <w:t xml:space="preserve">20.533,33 </w:t>
      </w:r>
      <w:r>
        <w:rPr>
          <w:rFonts w:ascii="Arial" w:hAnsi="Arial"/>
          <w:sz w:val="22"/>
        </w:rPr>
        <w:t xml:space="preserve">Receitas de Capital. Já a receita realizada registrou R$ </w:t>
      </w:r>
      <w:r>
        <w:rPr>
          <w:rFonts w:ascii="Arial" w:hAnsi="Arial"/>
          <w:b/>
          <w:color w:val="FF0000"/>
          <w:sz w:val="22"/>
        </w:rPr>
        <w:t xml:space="preserve">7.237.817,24 </w:t>
      </w:r>
      <w:r>
        <w:rPr>
          <w:rFonts w:ascii="Arial" w:hAnsi="Arial"/>
          <w:sz w:val="22"/>
        </w:rPr>
        <w:t xml:space="preserve">para as Receitas Correntes e </w:t>
      </w:r>
      <w:r>
        <w:rPr>
          <w:rFonts w:ascii="Arial" w:hAnsi="Arial"/>
          <w:color w:val="FF0000"/>
          <w:sz w:val="22"/>
        </w:rPr>
        <w:t xml:space="preserve">R$ 614.356,13 </w:t>
      </w:r>
      <w:r>
        <w:rPr>
          <w:rFonts w:ascii="Arial" w:hAnsi="Arial"/>
          <w:b/>
          <w:color w:val="FF0000"/>
          <w:sz w:val="22"/>
        </w:rPr>
        <w:t>para</w:t>
      </w:r>
      <w:r>
        <w:rPr>
          <w:rFonts w:ascii="Arial" w:hAnsi="Arial"/>
          <w:sz w:val="22"/>
        </w:rPr>
        <w:t xml:space="preserve"> as Receitas de Capital, que resultou numa arrecadação total de Receitas Fiscais Liquidas de </w:t>
      </w:r>
      <w:r>
        <w:rPr>
          <w:rFonts w:ascii="Arial" w:hAnsi="Arial"/>
          <w:b/>
          <w:sz w:val="22"/>
        </w:rPr>
        <w:t xml:space="preserve">R$ </w:t>
      </w:r>
      <w:r>
        <w:rPr>
          <w:rFonts w:ascii="Arial" w:hAnsi="Arial"/>
          <w:b/>
          <w:color w:val="538135" w:themeColor="accent6" w:themeShade="BF"/>
          <w:sz w:val="22"/>
        </w:rPr>
        <w:t>5.991,259,94.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/>
          <w:sz w:val="22"/>
        </w:rPr>
        <w:t xml:space="preserve">Na confrontação das Receitas Arrecadadas com as Despesas Liquidadas, apuraram-se valores positivos, ou seja, enquanto as receitas do período registraram a cifra de </w:t>
      </w:r>
      <w:r>
        <w:rPr>
          <w:rFonts w:ascii="Arial" w:hAnsi="Arial"/>
          <w:b/>
          <w:sz w:val="22"/>
        </w:rPr>
        <w:t>R$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 w:cs="Arial"/>
          <w:b/>
          <w:color w:val="538135" w:themeColor="accent6" w:themeShade="BF"/>
          <w:sz w:val="22"/>
          <w:szCs w:val="22"/>
        </w:rPr>
        <w:t xml:space="preserve">8.415.239,60 </w:t>
      </w:r>
      <w:r>
        <w:rPr>
          <w:rFonts w:ascii="Arial" w:hAnsi="Arial"/>
          <w:sz w:val="22"/>
        </w:rPr>
        <w:t>as despesas contabilizaram a soma de R</w:t>
      </w:r>
      <w:r>
        <w:rPr>
          <w:rFonts w:ascii="Arial" w:hAnsi="Arial"/>
          <w:b/>
          <w:sz w:val="22"/>
        </w:rPr>
        <w:t xml:space="preserve">$ </w:t>
      </w:r>
      <w:r>
        <w:rPr>
          <w:rFonts w:ascii="Arial" w:hAnsi="Arial"/>
          <w:b/>
          <w:color w:val="538135" w:themeColor="accent6" w:themeShade="BF"/>
          <w:sz w:val="22"/>
        </w:rPr>
        <w:t>5.857.982,08</w:t>
      </w:r>
      <w:r>
        <w:rPr>
          <w:rFonts w:ascii="Arial" w:hAnsi="Arial"/>
          <w:b/>
          <w:sz w:val="22"/>
        </w:rPr>
        <w:t xml:space="preserve">, </w:t>
      </w:r>
      <w:r>
        <w:rPr>
          <w:rFonts w:ascii="Arial" w:hAnsi="Arial"/>
          <w:sz w:val="22"/>
        </w:rPr>
        <w:t xml:space="preserve">restando um superávit orçamentário de R$ </w:t>
      </w:r>
      <w:r>
        <w:rPr>
          <w:rFonts w:ascii="Arial" w:hAnsi="Arial"/>
          <w:b/>
          <w:color w:val="538135" w:themeColor="accent6" w:themeShade="BF"/>
          <w:sz w:val="22"/>
        </w:rPr>
        <w:t>2.557.257,52</w:t>
      </w:r>
      <w:r>
        <w:rPr>
          <w:rFonts w:ascii="Arial" w:hAnsi="Arial"/>
          <w:sz w:val="22"/>
        </w:rPr>
        <w:t xml:space="preserve">. Os dados do Resultado Primário registraram até o Primeiro quadrimestre o valor de R$ 397.018,46. O Demonstrativo do Resultado Nominal apresentado na Audiência registrou ao término do período a importância de 907.632,02. Em relação à Dívida Pública Consolidada, constatou-se saldo de operação de Crédito no valor de R$ 276.726,89, menos as disponibilidades financeiras de </w:t>
      </w:r>
      <w:r>
        <w:rPr>
          <w:rFonts w:ascii="Arial" w:hAnsi="Arial"/>
          <w:b/>
          <w:sz w:val="22"/>
        </w:rPr>
        <w:t xml:space="preserve">R$ </w:t>
      </w:r>
      <w:r>
        <w:rPr>
          <w:rFonts w:ascii="Arial" w:hAnsi="Arial"/>
          <w:b/>
          <w:color w:val="FF0000"/>
          <w:sz w:val="22"/>
        </w:rPr>
        <w:t xml:space="preserve">4.474.323,84 </w:t>
      </w:r>
      <w:r>
        <w:rPr>
          <w:rFonts w:ascii="Arial" w:hAnsi="Arial"/>
          <w:color w:val="000000" w:themeColor="text1"/>
          <w:sz w:val="22"/>
        </w:rPr>
        <w:t>e restos a pagar processados</w:t>
      </w:r>
      <w:r>
        <w:rPr>
          <w:rFonts w:ascii="Arial" w:hAnsi="Arial"/>
          <w:b/>
          <w:sz w:val="22"/>
        </w:rPr>
        <w:t xml:space="preserve">, </w:t>
      </w:r>
      <w:r>
        <w:rPr>
          <w:rFonts w:ascii="Arial" w:hAnsi="Arial"/>
          <w:sz w:val="22"/>
        </w:rPr>
        <w:t xml:space="preserve">resultando em R$ </w:t>
      </w:r>
      <w:r>
        <w:rPr>
          <w:rFonts w:ascii="Arial" w:hAnsi="Arial"/>
          <w:b/>
          <w:sz w:val="22"/>
        </w:rPr>
        <w:t>(</w:t>
      </w:r>
      <w:r>
        <w:rPr>
          <w:rFonts w:ascii="Arial" w:hAnsi="Arial"/>
          <w:b/>
          <w:color w:val="FF0000"/>
          <w:sz w:val="22"/>
        </w:rPr>
        <w:t>3.976.088,73</w:t>
      </w:r>
      <w:r>
        <w:rPr>
          <w:rFonts w:ascii="Arial" w:hAnsi="Arial"/>
          <w:b/>
          <w:sz w:val="22"/>
        </w:rPr>
        <w:t>).</w:t>
      </w:r>
      <w:r>
        <w:rPr>
          <w:rFonts w:ascii="Arial" w:hAnsi="Arial"/>
          <w:sz w:val="22"/>
        </w:rPr>
        <w:t xml:space="preserve"> No tocante aos índices de Saúde ficou demonstrado que a aplicação foi de </w:t>
      </w:r>
      <w:r>
        <w:rPr>
          <w:rFonts w:ascii="Arial" w:hAnsi="Arial"/>
          <w:b/>
          <w:color w:val="538135" w:themeColor="accent6" w:themeShade="BF"/>
          <w:sz w:val="22"/>
        </w:rPr>
        <w:t xml:space="preserve">17,61%, </w:t>
      </w:r>
      <w:r>
        <w:rPr>
          <w:rFonts w:ascii="Arial" w:hAnsi="Arial"/>
          <w:color w:val="538135" w:themeColor="accent6" w:themeShade="BF"/>
          <w:sz w:val="22"/>
        </w:rPr>
        <w:t>atingindo</w:t>
      </w:r>
      <w:r>
        <w:rPr>
          <w:rFonts w:ascii="Arial" w:hAnsi="Arial"/>
          <w:sz w:val="22"/>
        </w:rPr>
        <w:t xml:space="preserve"> no 1° quadrimestre ao disposto no artigo198 da Constituição Federal, combinado com o disposto no § 1º do artigo 77, do Ato das Disposições Constitucionais Transitórias – ADCT, o mínimo anual é de 15%. Já em relação aos dispêndios com educação, estes representaram </w:t>
      </w:r>
      <w:r>
        <w:rPr>
          <w:rFonts w:ascii="Arial" w:hAnsi="Arial"/>
          <w:b/>
          <w:color w:val="538135" w:themeColor="accent6" w:themeShade="BF"/>
          <w:sz w:val="22"/>
        </w:rPr>
        <w:t>26,76%</w:t>
      </w:r>
      <w:r>
        <w:rPr>
          <w:rFonts w:ascii="Arial" w:hAnsi="Arial"/>
          <w:color w:val="538135" w:themeColor="accent6" w:themeShade="BF"/>
          <w:sz w:val="22"/>
        </w:rPr>
        <w:t xml:space="preserve">, </w:t>
      </w:r>
      <w:r>
        <w:rPr>
          <w:rFonts w:ascii="Arial" w:hAnsi="Arial"/>
          <w:sz w:val="22"/>
        </w:rPr>
        <w:t xml:space="preserve">da Receita </w:t>
      </w:r>
    </w:p>
    <w:p w:rsidR="00923E09" w:rsidRDefault="00923E09" w:rsidP="00923E09">
      <w:pPr>
        <w:tabs>
          <w:tab w:val="left" w:pos="180"/>
        </w:tabs>
        <w:spacing w:before="240"/>
        <w:jc w:val="both"/>
        <w:rPr>
          <w:rFonts w:ascii="Arial" w:hAnsi="Arial"/>
          <w:sz w:val="22"/>
        </w:rPr>
      </w:pPr>
    </w:p>
    <w:p w:rsidR="00923E09" w:rsidRDefault="00923E09" w:rsidP="00923E09">
      <w:pPr>
        <w:tabs>
          <w:tab w:val="left" w:pos="180"/>
        </w:tabs>
        <w:spacing w:before="240"/>
        <w:jc w:val="both"/>
        <w:rPr>
          <w:rFonts w:ascii="Arial" w:hAnsi="Arial"/>
          <w:sz w:val="22"/>
        </w:rPr>
      </w:pPr>
    </w:p>
    <w:p w:rsidR="00923E09" w:rsidRDefault="00923E09" w:rsidP="00923E09">
      <w:pPr>
        <w:tabs>
          <w:tab w:val="left" w:pos="180"/>
        </w:tabs>
        <w:spacing w:before="240"/>
        <w:jc w:val="both"/>
        <w:rPr>
          <w:rFonts w:ascii="Arial" w:hAnsi="Arial"/>
          <w:sz w:val="22"/>
        </w:rPr>
      </w:pPr>
      <w:bookmarkStart w:id="0" w:name="_GoBack"/>
      <w:bookmarkEnd w:id="0"/>
      <w:r>
        <w:rPr>
          <w:rFonts w:ascii="Arial" w:hAnsi="Arial"/>
          <w:sz w:val="22"/>
        </w:rPr>
        <w:t xml:space="preserve">Resultante de Impostos, não atingindo o estabelecido no Artigo 212 da Constituição Federal no 1° quadrimestre, o mínimo anual é de 25%. Também foi demonstrada na Audiência a situação com relação aos gastos de pessoal. O Poder Executivo apresentou um dispêndio de </w:t>
      </w:r>
      <w:r>
        <w:rPr>
          <w:rFonts w:ascii="Arial" w:hAnsi="Arial"/>
          <w:b/>
          <w:color w:val="538135" w:themeColor="accent6" w:themeShade="BF"/>
          <w:sz w:val="22"/>
        </w:rPr>
        <w:t xml:space="preserve">35,22% </w:t>
      </w:r>
      <w:r>
        <w:rPr>
          <w:rFonts w:ascii="Arial" w:hAnsi="Arial"/>
          <w:sz w:val="22"/>
        </w:rPr>
        <w:t xml:space="preserve">da receita Corrente     Líquida      do Município, comprovando desta forma </w:t>
      </w:r>
      <w:r>
        <w:rPr>
          <w:rFonts w:ascii="Arial" w:hAnsi="Arial"/>
          <w:b/>
          <w:sz w:val="22"/>
        </w:rPr>
        <w:t xml:space="preserve">estar </w:t>
      </w:r>
      <w:r>
        <w:rPr>
          <w:rFonts w:ascii="Arial" w:hAnsi="Arial"/>
          <w:sz w:val="22"/>
        </w:rPr>
        <w:t xml:space="preserve">cumprindo   o   limite estabelecido   no Artigo 20, inciso III, alínea “a”', da Lei de Responsabilidade Fiscal. Já os gastos de    pessoal do Poder   Legislativo foram   de </w:t>
      </w:r>
      <w:r>
        <w:rPr>
          <w:rFonts w:ascii="Arial" w:hAnsi="Arial"/>
          <w:b/>
          <w:color w:val="538135" w:themeColor="accent6" w:themeShade="BF"/>
          <w:sz w:val="22"/>
        </w:rPr>
        <w:t>1,59</w:t>
      </w:r>
      <w:r>
        <w:rPr>
          <w:rFonts w:ascii="Arial" w:hAnsi="Arial"/>
          <w:b/>
          <w:sz w:val="22"/>
        </w:rPr>
        <w:t>%,</w:t>
      </w:r>
      <w:r>
        <w:rPr>
          <w:rFonts w:ascii="Arial" w:hAnsi="Arial"/>
          <w:sz w:val="22"/>
        </w:rPr>
        <w:t xml:space="preserve"> da Receita Corrente Líquida do Município, comprovando desta forma o </w:t>
      </w:r>
      <w:r>
        <w:rPr>
          <w:rFonts w:ascii="Arial" w:hAnsi="Arial"/>
          <w:b/>
          <w:sz w:val="22"/>
        </w:rPr>
        <w:t xml:space="preserve">cumprimento </w:t>
      </w:r>
      <w:r>
        <w:rPr>
          <w:rFonts w:ascii="Arial" w:hAnsi="Arial"/>
          <w:sz w:val="22"/>
        </w:rPr>
        <w:t xml:space="preserve">do limite estabelecido no Artigo 20, inciso III, alínea 'b', da LRF. No espaço aberto para os questionamentos, não houve manifestações. Assim, estando apresentados os quadros demonstrativos das Metas Fiscais e não mais havendo questionamentos o vice-prefeito agradeceu a presença de todos e nada mais havendo a tratar encerrou a audiência, da qual se lavrou à presente Ata, que passa a ser assinada pelo Vereador Presidente e demais Vereadores e pessoas presentes. Sala de Sessões, em 22 de maio de 2019.   </w:t>
      </w:r>
    </w:p>
    <w:p w:rsidR="00923E09" w:rsidRDefault="00923E09" w:rsidP="00923E09">
      <w:pPr>
        <w:ind w:left="-360"/>
        <w:jc w:val="both"/>
        <w:rPr>
          <w:b/>
        </w:rPr>
      </w:pPr>
    </w:p>
    <w:p w:rsidR="00923E09" w:rsidRDefault="00923E09" w:rsidP="00923E09">
      <w:pPr>
        <w:ind w:left="-360"/>
        <w:jc w:val="both"/>
        <w:rPr>
          <w:rFonts w:ascii="Arial" w:hAnsi="Arial" w:cs="Arial"/>
        </w:rPr>
      </w:pPr>
    </w:p>
    <w:p w:rsidR="00923E09" w:rsidRDefault="00923E09" w:rsidP="00923E09">
      <w:pPr>
        <w:spacing w:line="360" w:lineRule="auto"/>
        <w:jc w:val="both"/>
        <w:rPr>
          <w:rFonts w:ascii="Arial" w:hAnsi="Arial" w:cs="Arial"/>
        </w:rPr>
      </w:pPr>
    </w:p>
    <w:p w:rsidR="00923E09" w:rsidRDefault="00923E09" w:rsidP="00923E09">
      <w:pPr>
        <w:spacing w:line="360" w:lineRule="auto"/>
        <w:jc w:val="both"/>
        <w:rPr>
          <w:rFonts w:ascii="Arial" w:hAnsi="Arial" w:cs="Arial"/>
        </w:rPr>
      </w:pPr>
    </w:p>
    <w:p w:rsidR="00923E09" w:rsidRDefault="00923E09" w:rsidP="00923E09">
      <w:pPr>
        <w:spacing w:line="360" w:lineRule="auto"/>
      </w:pPr>
    </w:p>
    <w:p w:rsidR="00923E09" w:rsidRDefault="00923E09" w:rsidP="00923E09">
      <w:pPr>
        <w:spacing w:line="360" w:lineRule="auto"/>
      </w:pPr>
    </w:p>
    <w:p w:rsidR="00923E09" w:rsidRDefault="00923E09" w:rsidP="00923E09"/>
    <w:p w:rsidR="00923E09" w:rsidRDefault="00923E09" w:rsidP="00923E09"/>
    <w:p w:rsidR="00923E09" w:rsidRDefault="00923E09" w:rsidP="00923E09"/>
    <w:p w:rsidR="00535061" w:rsidRDefault="00535061"/>
    <w:p w:rsidR="003C0D81" w:rsidRDefault="003C0D81"/>
    <w:p w:rsidR="003C0D81" w:rsidRDefault="003C0D81"/>
    <w:sectPr w:rsidR="003C0D81" w:rsidSect="00B42B82">
      <w:headerReference w:type="default" r:id="rId6"/>
      <w:footerReference w:type="default" r:id="rId7"/>
      <w:pgSz w:w="11906" w:h="16838"/>
      <w:pgMar w:top="1417" w:right="1701" w:bottom="709" w:left="1701" w:header="851" w:footer="2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104E" w:rsidRDefault="00E0104E" w:rsidP="003C0D81">
      <w:r>
        <w:separator/>
      </w:r>
    </w:p>
  </w:endnote>
  <w:endnote w:type="continuationSeparator" w:id="0">
    <w:p w:rsidR="00E0104E" w:rsidRDefault="00E0104E" w:rsidP="003C0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D81" w:rsidRPr="003C0D81" w:rsidRDefault="003C0D81" w:rsidP="003C0D81">
    <w:pPr>
      <w:pStyle w:val="Rodap"/>
      <w:rPr>
        <w:b/>
        <w:sz w:val="18"/>
      </w:rPr>
    </w:pPr>
    <w:r w:rsidRPr="003C0D81">
      <w:rPr>
        <w:b/>
        <w:sz w:val="18"/>
      </w:rPr>
      <w:t>RUA JÚLIO DE CASTILHOS, 895 – CENTRO – 95260-000 – NOVA ROMA DO SUL – RS – FONE/FAX – (54)3294-1005</w:t>
    </w:r>
  </w:p>
  <w:p w:rsidR="003C0D81" w:rsidRPr="003C0D81" w:rsidRDefault="003C0D81" w:rsidP="003C0D81">
    <w:pPr>
      <w:pStyle w:val="Rodap"/>
      <w:rPr>
        <w:b/>
        <w:sz w:val="18"/>
      </w:rPr>
    </w:pPr>
    <w:r w:rsidRPr="003C0D81">
      <w:rPr>
        <w:b/>
        <w:sz w:val="18"/>
      </w:rPr>
      <w:t xml:space="preserve">e-mail: </w:t>
    </w:r>
    <w:hyperlink r:id="rId1" w:history="1">
      <w:r w:rsidRPr="003C0D81">
        <w:rPr>
          <w:rStyle w:val="Hyperlink"/>
          <w:b/>
          <w:sz w:val="18"/>
        </w:rPr>
        <w:t>camaravereadores@novaromadosul.rs.gov.br/</w:t>
      </w:r>
    </w:hyperlink>
    <w:r w:rsidRPr="003C0D81">
      <w:rPr>
        <w:b/>
        <w:sz w:val="18"/>
      </w:rPr>
      <w:t xml:space="preserve"> site: </w:t>
    </w:r>
    <w:r w:rsidR="00EB37D2" w:rsidRPr="00EB37D2">
      <w:rPr>
        <w:b/>
        <w:sz w:val="18"/>
      </w:rPr>
      <w:t>novaromadosul.rs.leg.br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104E" w:rsidRDefault="00E0104E" w:rsidP="003C0D81">
      <w:r>
        <w:separator/>
      </w:r>
    </w:p>
  </w:footnote>
  <w:footnote w:type="continuationSeparator" w:id="0">
    <w:p w:rsidR="00E0104E" w:rsidRDefault="00E0104E" w:rsidP="003C0D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D81" w:rsidRPr="00A80FB8" w:rsidRDefault="003C0D81" w:rsidP="00A80FB8">
    <w:pPr>
      <w:pStyle w:val="Cabealho"/>
      <w:jc w:val="center"/>
      <w:rPr>
        <w:b/>
        <w:sz w:val="44"/>
      </w:rPr>
    </w:pPr>
    <w:r w:rsidRPr="00A80FB8">
      <w:rPr>
        <w:b/>
        <w:noProof/>
        <w:sz w:val="44"/>
        <w:lang w:eastAsia="pt-BR"/>
      </w:rPr>
      <w:drawing>
        <wp:anchor distT="0" distB="0" distL="114300" distR="114300" simplePos="0" relativeHeight="251658240" behindDoc="0" locked="0" layoutInCell="1" allowOverlap="1" wp14:anchorId="2418814C" wp14:editId="5B250DDC">
          <wp:simplePos x="0" y="0"/>
          <wp:positionH relativeFrom="margin">
            <wp:posOffset>-114300</wp:posOffset>
          </wp:positionH>
          <wp:positionV relativeFrom="paragraph">
            <wp:posOffset>-148590</wp:posOffset>
          </wp:positionV>
          <wp:extent cx="762000" cy="883279"/>
          <wp:effectExtent l="0" t="0" r="0" b="0"/>
          <wp:wrapNone/>
          <wp:docPr id="2" name="Imagem 2" descr="C:\Users\User\Desktop\ARQUIVOS E DOCUMENTAÇÕES\ARQUIVOS, DOCUMENTOS, OFÍCIOS, PEDIDOS, FOTOS,SESSÕES SOLENES, VEREADORES JUNIORES E DA 3ª IDADE\IMAGENS E MATÉRIA PARA SITE E FACEBOOK\Brasão municíp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ARQUIVOS E DOCUMENTAÇÕES\ARQUIVOS, DOCUMENTOS, OFÍCIOS, PEDIDOS, FOTOS,SESSÕES SOLENES, VEREADORES JUNIORES E DA 3ª IDADE\IMAGENS E MATÉRIA PARA SITE E FACEBOOK\Brasão municípi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8832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80FB8">
      <w:rPr>
        <w:b/>
        <w:sz w:val="44"/>
      </w:rPr>
      <w:t>Câmara Municipal de Vereadores</w:t>
    </w:r>
  </w:p>
  <w:p w:rsidR="003C0D81" w:rsidRPr="00A80FB8" w:rsidRDefault="003C0D81" w:rsidP="00A80FB8">
    <w:pPr>
      <w:pStyle w:val="Cabealho"/>
      <w:jc w:val="center"/>
      <w:rPr>
        <w:b/>
        <w:sz w:val="44"/>
      </w:rPr>
    </w:pPr>
    <w:r w:rsidRPr="00A80FB8">
      <w:rPr>
        <w:b/>
        <w:sz w:val="44"/>
      </w:rPr>
      <w:t>NOVA ROMA DO SUL</w:t>
    </w:r>
  </w:p>
  <w:p w:rsidR="003C0D81" w:rsidRPr="003C0D81" w:rsidRDefault="003C0D81" w:rsidP="003C0D81">
    <w:pPr>
      <w:pStyle w:val="Cabealho"/>
      <w:rPr>
        <w:b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81"/>
    <w:rsid w:val="001C148B"/>
    <w:rsid w:val="00353AE1"/>
    <w:rsid w:val="003C0D81"/>
    <w:rsid w:val="00535061"/>
    <w:rsid w:val="008D46AB"/>
    <w:rsid w:val="008F44C5"/>
    <w:rsid w:val="00916713"/>
    <w:rsid w:val="00923E09"/>
    <w:rsid w:val="009E3856"/>
    <w:rsid w:val="00A80FB8"/>
    <w:rsid w:val="00B42B82"/>
    <w:rsid w:val="00DD1163"/>
    <w:rsid w:val="00E0104E"/>
    <w:rsid w:val="00EB3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14C42C4-5C4E-4B43-B2CB-41E94A65C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3E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C0D8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C0D81"/>
  </w:style>
  <w:style w:type="paragraph" w:styleId="Rodap">
    <w:name w:val="footer"/>
    <w:basedOn w:val="Normal"/>
    <w:link w:val="RodapChar"/>
    <w:uiPriority w:val="99"/>
    <w:unhideWhenUsed/>
    <w:rsid w:val="003C0D8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C0D81"/>
  </w:style>
  <w:style w:type="character" w:styleId="Hyperlink">
    <w:name w:val="Hyperlink"/>
    <w:basedOn w:val="Fontepargpadro"/>
    <w:uiPriority w:val="99"/>
    <w:unhideWhenUsed/>
    <w:rsid w:val="003C0D81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23E0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23E09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89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amaravereadores@novaromadosul.rs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752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2019-05-22T18:10:00Z</cp:lastPrinted>
  <dcterms:created xsi:type="dcterms:W3CDTF">2019-05-22T18:11:00Z</dcterms:created>
  <dcterms:modified xsi:type="dcterms:W3CDTF">2019-05-22T18:11:00Z</dcterms:modified>
</cp:coreProperties>
</file>