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86" w:rsidRDefault="008D5F86" w:rsidP="008D5F86">
      <w:pPr>
        <w:jc w:val="center"/>
        <w:rPr>
          <w:b/>
        </w:rPr>
      </w:pPr>
    </w:p>
    <w:p w:rsidR="008D5F86" w:rsidRDefault="008D5F86" w:rsidP="008D5F86">
      <w:pPr>
        <w:jc w:val="center"/>
        <w:rPr>
          <w:b/>
        </w:rPr>
      </w:pPr>
    </w:p>
    <w:p w:rsidR="008D5F86" w:rsidRDefault="008D5F86" w:rsidP="008D5F86">
      <w:pPr>
        <w:jc w:val="center"/>
        <w:rPr>
          <w:b/>
        </w:rPr>
      </w:pPr>
    </w:p>
    <w:p w:rsidR="008D5F86" w:rsidRDefault="008D5F86" w:rsidP="008D5F86">
      <w:pPr>
        <w:jc w:val="center"/>
        <w:rPr>
          <w:b/>
        </w:rPr>
      </w:pPr>
    </w:p>
    <w:p w:rsidR="008D5F86" w:rsidRDefault="008D5F86" w:rsidP="008D5F86">
      <w:pPr>
        <w:jc w:val="center"/>
        <w:rPr>
          <w:b/>
        </w:rPr>
      </w:pPr>
    </w:p>
    <w:p w:rsidR="008D5F86" w:rsidRDefault="008D5F86" w:rsidP="008D5F86">
      <w:pPr>
        <w:jc w:val="center"/>
        <w:rPr>
          <w:b/>
        </w:rPr>
      </w:pPr>
      <w:r>
        <w:rPr>
          <w:b/>
        </w:rPr>
        <w:t xml:space="preserve">RESOLUÇÃO nº 04 </w:t>
      </w:r>
      <w:r>
        <w:rPr>
          <w:b/>
        </w:rPr>
        <w:t>/2015 de 28 de outubro de 2015</w:t>
      </w:r>
    </w:p>
    <w:p w:rsidR="008D5F86" w:rsidRDefault="008D5F86" w:rsidP="008D5F86"/>
    <w:p w:rsidR="008D5F86" w:rsidRDefault="008D5F86" w:rsidP="008D5F86"/>
    <w:p w:rsidR="008D5F86" w:rsidRDefault="008D5F86" w:rsidP="008D5F86">
      <w:pPr>
        <w:ind w:leftChars="1890" w:left="4536"/>
        <w:jc w:val="both"/>
        <w:rPr>
          <w:b/>
        </w:rPr>
      </w:pPr>
      <w:r>
        <w:rPr>
          <w:b/>
          <w:highlight w:val="yellow"/>
        </w:rPr>
        <w:t>“Regulamenta a Lei 1.260 de 18 de julho de 2014 no âmbito do Poder Legislativo do Município de Nova Roma do Sul e dá outras providências.”.</w:t>
      </w:r>
    </w:p>
    <w:p w:rsidR="008D5F86" w:rsidRDefault="008D5F86" w:rsidP="008D5F86">
      <w:pPr>
        <w:ind w:firstLineChars="821" w:firstLine="1978"/>
        <w:jc w:val="both"/>
        <w:rPr>
          <w:b/>
        </w:rPr>
      </w:pPr>
    </w:p>
    <w:p w:rsidR="008D5F86" w:rsidRDefault="008D5F86" w:rsidP="008D5F86">
      <w:pPr>
        <w:rPr>
          <w:b/>
        </w:rPr>
      </w:pPr>
    </w:p>
    <w:p w:rsidR="008D5F86" w:rsidRDefault="008D5F86" w:rsidP="008D5F86">
      <w:pPr>
        <w:jc w:val="both"/>
        <w:rPr>
          <w:b/>
          <w:bCs/>
        </w:rPr>
      </w:pPr>
      <w:r>
        <w:rPr>
          <w:color w:val="000000"/>
        </w:rPr>
        <w:t xml:space="preserve">              </w:t>
      </w:r>
      <w:r>
        <w:rPr>
          <w:color w:val="000000"/>
        </w:rPr>
        <w:t xml:space="preserve">A mesa diretora desta Casa Legislativa no uso das atribuições que lhe confere o art. 112, § 1º do Regimento Interno, faz saber que a Câmara de Vereadores de Nova Roma do Sul aprovou e promulga-se a seguinte Resolução: </w:t>
      </w:r>
    </w:p>
    <w:p w:rsidR="008D5F86" w:rsidRDefault="008D5F86" w:rsidP="008D5F86">
      <w:pPr>
        <w:rPr>
          <w:b/>
        </w:rPr>
      </w:pPr>
    </w:p>
    <w:p w:rsidR="008D5F86" w:rsidRDefault="008D5F86" w:rsidP="008D5F86">
      <w:pPr>
        <w:ind w:firstLineChars="295" w:firstLine="711"/>
        <w:jc w:val="center"/>
        <w:rPr>
          <w:b/>
        </w:rPr>
      </w:pPr>
    </w:p>
    <w:p w:rsidR="008D5F86" w:rsidRDefault="008D5F86" w:rsidP="008D5F86">
      <w:pPr>
        <w:ind w:firstLineChars="295" w:firstLine="711"/>
        <w:jc w:val="center"/>
        <w:rPr>
          <w:b/>
        </w:rPr>
      </w:pPr>
      <w:r>
        <w:rPr>
          <w:b/>
        </w:rPr>
        <w:t>CAPÍTULO I</w:t>
      </w:r>
    </w:p>
    <w:p w:rsidR="008D5F86" w:rsidRDefault="008D5F86" w:rsidP="008D5F86">
      <w:pPr>
        <w:ind w:firstLineChars="295" w:firstLine="711"/>
        <w:jc w:val="center"/>
        <w:rPr>
          <w:b/>
        </w:rPr>
      </w:pPr>
      <w:r>
        <w:rPr>
          <w:b/>
        </w:rPr>
        <w:t>DISPOSIÇÕES GERAIS</w:t>
      </w:r>
    </w:p>
    <w:p w:rsidR="008D5F86" w:rsidRDefault="008D5F86" w:rsidP="008D5F86">
      <w:pPr>
        <w:ind w:firstLineChars="295" w:firstLine="711"/>
        <w:jc w:val="center"/>
        <w:rPr>
          <w:b/>
        </w:rPr>
      </w:pPr>
    </w:p>
    <w:p w:rsidR="008D5F86" w:rsidRDefault="008D5F86" w:rsidP="008D5F86">
      <w:pPr>
        <w:ind w:firstLineChars="295" w:firstLine="711"/>
        <w:jc w:val="both"/>
        <w:rPr>
          <w:b/>
        </w:rPr>
      </w:pPr>
      <w:r>
        <w:rPr>
          <w:b/>
        </w:rPr>
        <w:t xml:space="preserve">Art. 1º. </w:t>
      </w:r>
      <w:r>
        <w:t>Esta Resolução regulamenta, no âmbito do Poder Legislativo Municipal, os procedimentos para a garantia do acesso à informação e para a classificação de informações sob restrição de acesso, observados grau e prazo de sigilo, conforme o disposto na Lei Municipal nº 1.260/2014 e Lei Federal nº 12.527/2011, que dispõe sobre o acesso a informações previsto no inciso XXXIII do caput do art. 5º, no inciso II do § 3º do art. 37 e no § 2º do art. 216 da Constituição.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2º.  </w:t>
      </w:r>
      <w:r>
        <w:t>Esta Casa Legislativa assegurará, às pessoas naturais e jurídicas, o direito de acesso à informação, que será proporcionado mediante procedimentos objetivos e ágeis, de forma transparente, clara e em linguagem de fácil compreensão, observados os princípios da administração pública e as diretrizes previstas na Lei Municipal nº 1.260 de 2014.</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Art. 3º. Para os efeitos deste Decreto, considera-se:</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 </w:t>
      </w:r>
      <w:r>
        <w:t xml:space="preserve">– </w:t>
      </w:r>
      <w:r>
        <w:rPr>
          <w:b/>
        </w:rPr>
        <w:t>Informação:</w:t>
      </w:r>
      <w:r>
        <w:t xml:space="preserve"> Dados, processados ou não, que podem ser utilizados para produção e transmissão de conhecimento, contidos em qualquer meio, suporte ou formato;</w:t>
      </w:r>
    </w:p>
    <w:p w:rsidR="008D5F86" w:rsidRDefault="008D5F86" w:rsidP="008D5F86">
      <w:pPr>
        <w:ind w:firstLineChars="295" w:firstLine="708"/>
        <w:jc w:val="both"/>
      </w:pPr>
    </w:p>
    <w:p w:rsidR="008D5F86" w:rsidRDefault="008D5F86" w:rsidP="008D5F86">
      <w:pPr>
        <w:ind w:firstLineChars="295" w:firstLine="711"/>
        <w:jc w:val="both"/>
      </w:pPr>
      <w:r>
        <w:rPr>
          <w:b/>
        </w:rPr>
        <w:t>II - Dados Processados:</w:t>
      </w:r>
      <w:r>
        <w:t xml:space="preserve"> Dados submetidos a qualquer operação ou tratamento por meio de processamento eletrônico ou por meio automatizado com o emprego de tecnologia da informação;</w:t>
      </w:r>
    </w:p>
    <w:p w:rsidR="008D5F86" w:rsidRDefault="008D5F86" w:rsidP="008D5F86">
      <w:pPr>
        <w:ind w:firstLineChars="295" w:firstLine="711"/>
        <w:jc w:val="both"/>
        <w:rPr>
          <w:b/>
        </w:rPr>
      </w:pPr>
    </w:p>
    <w:p w:rsidR="008D5F86" w:rsidRDefault="008D5F86" w:rsidP="008D5F86">
      <w:pPr>
        <w:ind w:firstLineChars="295" w:firstLine="711"/>
        <w:jc w:val="both"/>
      </w:pPr>
      <w:r>
        <w:rPr>
          <w:b/>
        </w:rPr>
        <w:t>III – Documento:</w:t>
      </w:r>
      <w:r>
        <w:t xml:space="preserve"> Unidade de registro de informações, qualquer que seja o suporte ou formato;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pPr>
      <w:r>
        <w:rPr>
          <w:b/>
        </w:rPr>
        <w:t>IV - Informação Sigilosa:</w:t>
      </w:r>
      <w:r>
        <w:t xml:space="preserve"> Informação submetida temporariamente à restrição de acesso público em razão de sua imprescindibilidade para a segurança da sociedade e do Estado, e aquelas abrangidas pelas demais hipóteses legais de sigilo;</w:t>
      </w:r>
    </w:p>
    <w:p w:rsidR="008D5F86" w:rsidRDefault="008D5F86" w:rsidP="008D5F86">
      <w:pPr>
        <w:ind w:firstLineChars="295" w:firstLine="711"/>
        <w:jc w:val="both"/>
        <w:rPr>
          <w:b/>
        </w:rPr>
      </w:pPr>
    </w:p>
    <w:p w:rsidR="008D5F86" w:rsidRDefault="008D5F86" w:rsidP="008D5F86">
      <w:pPr>
        <w:ind w:firstLineChars="295" w:firstLine="711"/>
        <w:jc w:val="both"/>
      </w:pPr>
      <w:r>
        <w:rPr>
          <w:b/>
        </w:rPr>
        <w:t>V - Informação Pessoal:</w:t>
      </w:r>
      <w:r>
        <w:t xml:space="preserve"> Informação relacionada à pessoa natural identificada ou identificável, relativa à intimidade, vida privada, honra e imagem;</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VI - Tratamento Da Informação:</w:t>
      </w:r>
      <w:r>
        <w:t xml:space="preserve"> Conjunto de ações referentes à produção, recepção, classificação, utilização, acesso, reprodução, transporte, transmissão, distribuição, arquivamento, armazenamento, eliminação, avaliação, destinação ou controle da informação;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VII – Disponibilidade:</w:t>
      </w:r>
      <w:r>
        <w:t xml:space="preserve"> Qualidade da informação que pode ser conhecida e utilizada por indivíduos, equipamentos ou sistemas autorizados;</w:t>
      </w:r>
    </w:p>
    <w:p w:rsidR="008D5F86" w:rsidRDefault="008D5F86" w:rsidP="008D5F86">
      <w:pPr>
        <w:ind w:firstLineChars="295" w:firstLine="711"/>
        <w:jc w:val="both"/>
        <w:rPr>
          <w:b/>
        </w:rPr>
      </w:pPr>
    </w:p>
    <w:p w:rsidR="008D5F86" w:rsidRDefault="008D5F86" w:rsidP="008D5F86">
      <w:pPr>
        <w:ind w:firstLineChars="295" w:firstLine="711"/>
        <w:jc w:val="both"/>
      </w:pPr>
      <w:r>
        <w:rPr>
          <w:b/>
        </w:rPr>
        <w:t>VIII – Autenticidade:</w:t>
      </w:r>
      <w:r>
        <w:t xml:space="preserve"> Qualidade da informação que tenha sido produzida, expedida, recebida ou modificada por determinado indivíduo, equipamento ou sistema;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IX – Integridade:</w:t>
      </w:r>
      <w:r>
        <w:t xml:space="preserve"> Qualidade da informação não modificada, inclusive quanto à origem, trânsito e destino;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X – Primariedade:</w:t>
      </w:r>
      <w:r>
        <w:t xml:space="preserve"> Qualidade da informação coletada na fonte, com o máximo de detalhamento possível, sem modificações;</w:t>
      </w:r>
    </w:p>
    <w:p w:rsidR="008D5F86" w:rsidRDefault="008D5F86" w:rsidP="008D5F86">
      <w:pPr>
        <w:ind w:firstLineChars="295" w:firstLine="711"/>
        <w:jc w:val="both"/>
        <w:rPr>
          <w:b/>
        </w:rPr>
      </w:pPr>
    </w:p>
    <w:p w:rsidR="008D5F86" w:rsidRDefault="008D5F86" w:rsidP="008D5F86">
      <w:pPr>
        <w:ind w:firstLineChars="295" w:firstLine="711"/>
        <w:jc w:val="both"/>
      </w:pPr>
      <w:r>
        <w:rPr>
          <w:b/>
        </w:rPr>
        <w:t>XI - Informação Atualizada:</w:t>
      </w:r>
      <w:r>
        <w:t xml:space="preserve"> Informação que reúne os dados mais recentes sobre o tema, de acordo com sua natureza, com os prazos previstos em normas específicas ou conforme a periodicidade estabelecida nos sistemas informatizados que a organizam; e</w:t>
      </w:r>
    </w:p>
    <w:p w:rsidR="008D5F86" w:rsidRDefault="008D5F86" w:rsidP="008D5F86">
      <w:pPr>
        <w:ind w:firstLineChars="295" w:firstLine="711"/>
        <w:jc w:val="both"/>
        <w:rPr>
          <w:b/>
        </w:rPr>
      </w:pPr>
    </w:p>
    <w:p w:rsidR="008D5F86" w:rsidRDefault="008D5F86" w:rsidP="008D5F86">
      <w:pPr>
        <w:ind w:firstLineChars="295" w:firstLine="711"/>
        <w:jc w:val="both"/>
      </w:pPr>
      <w:r>
        <w:rPr>
          <w:b/>
        </w:rPr>
        <w:t>XII - Documento Preparatório:</w:t>
      </w:r>
      <w:r>
        <w:t xml:space="preserve"> Documento formal utilizado como fundamento da tomada de decisão ou de ato administrativo, a exemplo de pareceres e notas técnicas.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4º. </w:t>
      </w:r>
      <w:r>
        <w:t>A busca e o fornecimento da informação são gratuitos, ressalvada a cobrança do valor referente ao custo dos serviços e dos materiais utilizados, tais como reprodução de documentos, mídias digitais e postagem.</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Parágrafo Único - </w:t>
      </w:r>
      <w:r>
        <w:t>Está isento de ressarcir os custos dos serviços e dos materiais utilizados aquele cuja situação econômica não lhe permita fazê-lo sem prejuízo do sustento próprio ou da família, declarada nos termos da Lei Federal nº 7.115, de 29 de agosto de 1983.</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jc w:val="center"/>
        <w:rPr>
          <w:b/>
        </w:rPr>
      </w:pPr>
      <w:r>
        <w:rPr>
          <w:b/>
        </w:rPr>
        <w:t>CAPÍTULO II</w:t>
      </w:r>
    </w:p>
    <w:p w:rsidR="008D5F86" w:rsidRDefault="008D5F86" w:rsidP="008D5F86">
      <w:pPr>
        <w:jc w:val="center"/>
        <w:rPr>
          <w:b/>
        </w:rPr>
      </w:pPr>
      <w:r>
        <w:rPr>
          <w:b/>
        </w:rPr>
        <w:t>DA ABRANGÊNCIA</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5º.  </w:t>
      </w:r>
      <w:r>
        <w:t>O acesso à informação disciplinado nesta Resolução não se aplica: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 - </w:t>
      </w:r>
      <w:r>
        <w:t>Às hipóteses de sigilo previstas na legislação, como fiscal, bancário, de operações e serviços no mercado de capitais, comercial, profissional, industrial e segredo de justiça; 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Às informações referentes a projetos de pesquisa e desenvolvimento científicos ou tecnológicos cujo sigilo seja imprescindível à segurança da sociedade e do Município, na forma do § 1º do art. 7º da Lei nº 12.527/2011;</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w:t>
      </w:r>
      <w:r>
        <w:t>– A outro tipo de sigilo previsto em Lei Municipal.</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jc w:val="center"/>
        <w:rPr>
          <w:b/>
        </w:rPr>
      </w:pPr>
      <w:r>
        <w:rPr>
          <w:b/>
        </w:rPr>
        <w:t>CAPÍTULO III</w:t>
      </w:r>
    </w:p>
    <w:p w:rsidR="008D5F86" w:rsidRDefault="008D5F86" w:rsidP="008D5F86">
      <w:pPr>
        <w:jc w:val="center"/>
        <w:rPr>
          <w:b/>
        </w:rPr>
      </w:pPr>
      <w:r>
        <w:rPr>
          <w:b/>
        </w:rPr>
        <w:t>DA TRANSPARÊNCIA ATIVA</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6º. </w:t>
      </w:r>
      <w:r>
        <w:t xml:space="preserve">O Poder Legislativo </w:t>
      </w:r>
      <w:proofErr w:type="gramStart"/>
      <w:r>
        <w:t>Municipal  promoverá</w:t>
      </w:r>
      <w:proofErr w:type="gramEnd"/>
      <w:r>
        <w:t>,  independente de requerimento, a divulgação em seus sítios na Internet de informações de interesse coletivo ou geral por eles produzidas ou custodiadas.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2º </w:t>
      </w:r>
      <w:r>
        <w:t>O sítio na Internet da Câmara de Vereadores deverá conter:</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 - </w:t>
      </w:r>
      <w:r>
        <w:t xml:space="preserve">Banner na página inicial, que dará acesso à seção específica de que trata o § 1o; </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Barra de identidade do portal da transparência, contendo ferramenta de redirecionamento de página para o Serviço de Informação ao Cidadão – Portal da Transparência.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3º </w:t>
      </w:r>
      <w:r>
        <w:t>Deverão ser divulgadas, na seção específica de que trata o § 1º, informações sobre:</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 - </w:t>
      </w:r>
      <w:r>
        <w:t xml:space="preserve">Estrutura organizacional, competências, legislação aplicável, principais cargos e seus ocupantes, </w:t>
      </w:r>
      <w:proofErr w:type="gramStart"/>
      <w:r>
        <w:t>endereço,  telefones</w:t>
      </w:r>
      <w:proofErr w:type="gramEnd"/>
      <w:r>
        <w:t xml:space="preserve"> e  horários de atendimento ao público;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Programas, projetos, ações, obras e atividades, com indicação da unidade responsável, principais metas e resultados e, quando existentes, indicadores de resultado e impacto;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 </w:t>
      </w:r>
      <w:r>
        <w:t>Repasses ou transferências de recursos financeiros</w:t>
      </w:r>
      <w:r>
        <w:rPr>
          <w:b/>
        </w:rPr>
        <w:t>;</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IV - </w:t>
      </w:r>
      <w:r>
        <w:t>Execução orçamentária e financeira detalhada;</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V - </w:t>
      </w:r>
      <w:r>
        <w:t>Licitações realizadas e em andamento, com editais, anexos e resultados, além dos contratos firmados e notas de empenho emitidas;</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VI - </w:t>
      </w:r>
      <w:r>
        <w:t>Remuneração e subsídio recebidos por ocupante de cargo, posto, função ou emprego público, incluindo auxílios, ajudas de custo, jetons e quaisquer outras vantagens pecuniárias, bem como proventos de aposentadoria e pensões daqueles que estiverem na ativa, de maneira individualizada;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VII - </w:t>
      </w:r>
      <w:r>
        <w:t xml:space="preserve">Respostas a perguntas mais frequentes da sociedade; </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VIII - </w:t>
      </w:r>
      <w:r>
        <w:t>Contato da autoridade de monitoramento, designada nos termos do art. 40 da Lei nº 12.527, de 2011, e telefone e correio eletrônico do Serviço de Informações ao Cidadão - SIC.</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4º </w:t>
      </w:r>
      <w:r>
        <w:t>As informações poderão ser disponibilizadas por meio de ferramenta de redirecionamento de página na Internet, quando estiverem disponíveis em outros sítios governamentais.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7º. </w:t>
      </w:r>
      <w:r>
        <w:t>O sítio na Internet da Câmara Legislativa em cumprimento às normas estabelecidas pela Lei 2.769/2012, deverá atender aos seguintes requisitos, entre outros: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 - </w:t>
      </w:r>
      <w:r>
        <w:t>Conter formulário para pedido de acesso à informação;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Conter ferramenta de pesquisa de conteúdo que permita o acesso à informação de forma objetiva, transparente, clara e em linguagem de fácil compreensão;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 </w:t>
      </w:r>
      <w:r>
        <w:t>Possibilitar gravação de relatórios em diversos formatos eletrônicos, inclusive abertos e não proprietários, tais como planilhas e texto, de modo a facilitar a análise das informações;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IV - </w:t>
      </w:r>
      <w:r>
        <w:t>Possibilitar acesso automatizado por sistemas externos em formatos abertos, estruturados e legíveis por máquina;</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V - </w:t>
      </w:r>
      <w:r>
        <w:t>Divulgar em detalhes os formatos utilizados para estruturação da informação;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VI - </w:t>
      </w:r>
      <w:r>
        <w:t>Garantir autenticidade e integridade das informações disponíveis para acesso;</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VII - </w:t>
      </w:r>
      <w:r>
        <w:t>Indicar instruções que permitam ao requerente comunicar-se, por via eletrônica ou telefônica, com o órgão ou entidade; 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VIII - </w:t>
      </w:r>
      <w:r>
        <w:t>Garantir a acessibilidade de conteúdo para pessoas com deficiência.</w:t>
      </w:r>
    </w:p>
    <w:p w:rsidR="008D5F86" w:rsidRDefault="008D5F86" w:rsidP="008D5F86">
      <w:pPr>
        <w:ind w:firstLineChars="295" w:firstLine="711"/>
        <w:jc w:val="both"/>
        <w:rPr>
          <w:b/>
        </w:rPr>
      </w:pPr>
    </w:p>
    <w:p w:rsidR="008D5F86" w:rsidRDefault="008D5F86" w:rsidP="008D5F86">
      <w:pPr>
        <w:jc w:val="center"/>
        <w:rPr>
          <w:b/>
        </w:rPr>
      </w:pPr>
    </w:p>
    <w:p w:rsidR="008D5F86" w:rsidRDefault="008D5F86" w:rsidP="008D5F86">
      <w:pPr>
        <w:jc w:val="center"/>
        <w:rPr>
          <w:b/>
        </w:rPr>
      </w:pPr>
      <w:r>
        <w:rPr>
          <w:b/>
        </w:rPr>
        <w:t>CAPÍTULO IV</w:t>
      </w:r>
    </w:p>
    <w:p w:rsidR="008D5F86" w:rsidRDefault="008D5F86" w:rsidP="008D5F86">
      <w:pPr>
        <w:jc w:val="center"/>
        <w:rPr>
          <w:b/>
        </w:rPr>
      </w:pPr>
      <w:r>
        <w:rPr>
          <w:b/>
        </w:rPr>
        <w:t>DA TRANSPARÊNCIA PASSIVA</w:t>
      </w:r>
    </w:p>
    <w:p w:rsidR="008D5F86" w:rsidRDefault="008D5F86" w:rsidP="008D5F86">
      <w:pPr>
        <w:ind w:firstLineChars="295" w:firstLine="711"/>
        <w:jc w:val="both"/>
        <w:rPr>
          <w:b/>
        </w:rPr>
      </w:pPr>
    </w:p>
    <w:p w:rsidR="008D5F86" w:rsidRDefault="008D5F86" w:rsidP="008D5F86">
      <w:pPr>
        <w:jc w:val="center"/>
        <w:rPr>
          <w:b/>
        </w:rPr>
      </w:pPr>
      <w:r>
        <w:rPr>
          <w:b/>
        </w:rPr>
        <w:t>SEÇÃO I</w:t>
      </w:r>
    </w:p>
    <w:p w:rsidR="008D5F86" w:rsidRDefault="008D5F86" w:rsidP="008D5F86">
      <w:pPr>
        <w:jc w:val="center"/>
        <w:rPr>
          <w:b/>
        </w:rPr>
      </w:pPr>
      <w:r>
        <w:rPr>
          <w:b/>
        </w:rPr>
        <w:t>DO SERVIÇO DE INFORMAÇÃO AO CIDADÃO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8º. </w:t>
      </w:r>
      <w:r>
        <w:t>A Câmara de Vereadores deverá criar Serviço de Informações ao Cidadão - SIC, com o objetivo de: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 - </w:t>
      </w:r>
      <w:r>
        <w:t>Atender e orientar o público quanto ao acesso à informação;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Informar sobre a tramitação de documentos nas unidades; 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 </w:t>
      </w:r>
      <w:r>
        <w:t>Receber e registrar pedidos de acesso à informação.</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Parágrafo Único - </w:t>
      </w:r>
      <w:r>
        <w:t>Compete ao SIC:</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 - </w:t>
      </w:r>
      <w:r>
        <w:t>O recebimento do pedido de acesso e, sempre que possível, o fornecimento imediato da informação;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O registro do pedido de acesso em sistema eletrônico específico e a entrega de número do protocolo, que conterá a data de apresentação do pedido; 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 </w:t>
      </w:r>
      <w:r>
        <w:t>O encaminhamento do pedido recebido e registrado à unidade responsável pelo fornecimento da informação, quando couber.</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9. </w:t>
      </w:r>
      <w:r>
        <w:t>O SIC será instalado na sede da Câmara de Vereadores, em local de fácil acesso e aberto ao público.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jc w:val="center"/>
        <w:rPr>
          <w:b/>
        </w:rPr>
      </w:pPr>
      <w:r>
        <w:rPr>
          <w:b/>
        </w:rPr>
        <w:t>SEÇÃO II</w:t>
      </w:r>
    </w:p>
    <w:p w:rsidR="008D5F86" w:rsidRDefault="008D5F86" w:rsidP="008D5F86">
      <w:pPr>
        <w:jc w:val="center"/>
        <w:rPr>
          <w:b/>
        </w:rPr>
      </w:pPr>
      <w:r>
        <w:rPr>
          <w:b/>
        </w:rPr>
        <w:t>DO PEDIDO DE ACESSO A INFORMAÇÃO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10. </w:t>
      </w:r>
      <w:r>
        <w:t>Qualquer pessoa, natural ou jurídica, poderá formular pedido de acesso à informação.</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 1º </w:t>
      </w:r>
      <w:r>
        <w:t xml:space="preserve">O pedido será apresentado em formulário padrão, disponibilizado em meio eletrônico ou físico, no sítio na Internet ou na sede da Câmara. </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2º </w:t>
      </w:r>
      <w:r>
        <w:t>O prazo de resposta será contado a partir da data de protocolo do pedido.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11.  </w:t>
      </w:r>
      <w:r>
        <w:t>O pedido de acesso à informação deverá conter:</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 - </w:t>
      </w:r>
      <w:r>
        <w:t>Nome do requerente;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Número de documento de identificação válido;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 </w:t>
      </w:r>
      <w:r>
        <w:t>Especificação, de forma clara e precisa, da informação requerida; 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IV - </w:t>
      </w:r>
      <w:r>
        <w:t>Endereço físico e/ou eletrônico do requerente, para recebimento de comunicações ou da informação requerida.</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Art. 12.  </w:t>
      </w:r>
      <w:r>
        <w:t>Não serão atendidos pedidos de acesso à informação:</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 - </w:t>
      </w:r>
      <w:r>
        <w:t>Genéricos;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Desproporcionais, de mera futilidade, ou desarrazoados; ou</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 </w:t>
      </w:r>
      <w:r>
        <w:t>Que exijam trabalhos adicionais de análise, interpretação ou consolidação de dados e informações, ou serviço de produção ou tratamento de dados que não seja de competência do órgão ou entidade.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Art. 13.</w:t>
      </w:r>
      <w:r>
        <w:t xml:space="preserve">  São vedadas exigências relativas aos motivos do pedido de acesso à informação.</w:t>
      </w:r>
    </w:p>
    <w:p w:rsidR="008D5F86" w:rsidRDefault="008D5F86" w:rsidP="008D5F86">
      <w:pPr>
        <w:ind w:firstLineChars="295" w:firstLine="711"/>
        <w:jc w:val="both"/>
        <w:rPr>
          <w:b/>
        </w:rPr>
      </w:pPr>
    </w:p>
    <w:p w:rsidR="008D5F86" w:rsidRDefault="008D5F86" w:rsidP="008D5F86">
      <w:pPr>
        <w:jc w:val="center"/>
        <w:rPr>
          <w:b/>
        </w:rPr>
      </w:pPr>
    </w:p>
    <w:p w:rsidR="008D5F86" w:rsidRDefault="008D5F86" w:rsidP="008D5F86">
      <w:pPr>
        <w:jc w:val="center"/>
        <w:rPr>
          <w:b/>
        </w:rPr>
      </w:pPr>
      <w:r>
        <w:rPr>
          <w:b/>
        </w:rPr>
        <w:t>SEÇÃO III</w:t>
      </w:r>
    </w:p>
    <w:p w:rsidR="008D5F86" w:rsidRDefault="008D5F86" w:rsidP="008D5F86">
      <w:pPr>
        <w:jc w:val="center"/>
        <w:rPr>
          <w:b/>
        </w:rPr>
      </w:pPr>
      <w:r>
        <w:rPr>
          <w:b/>
        </w:rPr>
        <w:t>DO PROCEDIMENTO DE ACESSO À INFORMAÇÃO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14.  </w:t>
      </w:r>
      <w:r>
        <w:t>Recebido o pedido e estando a informação disponível, o acesso será imediato.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1º </w:t>
      </w:r>
      <w:r>
        <w:t>Caso não seja possível o acesso imediato, esta Casa Legislativa deverá, no prazo de até vinte dias: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 - </w:t>
      </w:r>
      <w:r>
        <w:t>Enviar a informação ao endereço físico ou eletrônico informado;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Comunicar data, local e modo para realizar consulta à informação, efetuar reprodução ou obter certidão relativa à informação;</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III - </w:t>
      </w:r>
      <w:r>
        <w:t>Comunicar que não possui a informação ou que não tem conhecimento de sua existência;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IV - </w:t>
      </w:r>
      <w:r>
        <w:t>Indicar, caso tenha conhecimento, o órgão ou entidade responsável pela informação ou que a detenha; ou</w:t>
      </w:r>
    </w:p>
    <w:p w:rsidR="008D5F86" w:rsidRDefault="008D5F86" w:rsidP="008D5F86">
      <w:pPr>
        <w:ind w:firstLineChars="295" w:firstLine="711"/>
        <w:jc w:val="both"/>
        <w:rPr>
          <w:b/>
        </w:rPr>
      </w:pPr>
    </w:p>
    <w:p w:rsidR="008D5F86" w:rsidRDefault="008D5F86" w:rsidP="008D5F86">
      <w:pPr>
        <w:ind w:firstLineChars="295" w:firstLine="711"/>
        <w:jc w:val="both"/>
      </w:pPr>
      <w:r>
        <w:rPr>
          <w:b/>
        </w:rPr>
        <w:t>V -</w:t>
      </w:r>
      <w:r>
        <w:t xml:space="preserve"> Indicar as razões da negativa, total ou parcial, do acesso.</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 2º </w:t>
      </w:r>
      <w:r>
        <w:t xml:space="preserve">Nas hipóteses em que o pedido de acesso demandar manuseio de grande volume de documentos, ou a movimentação do documento puder comprometer sua </w:t>
      </w:r>
    </w:p>
    <w:p w:rsidR="008D5F86" w:rsidRDefault="008D5F86" w:rsidP="008D5F86">
      <w:pPr>
        <w:ind w:firstLineChars="295" w:firstLine="708"/>
        <w:jc w:val="both"/>
      </w:pPr>
    </w:p>
    <w:p w:rsidR="008D5F86" w:rsidRDefault="008D5F86" w:rsidP="008D5F86">
      <w:pPr>
        <w:ind w:firstLineChars="295" w:firstLine="708"/>
        <w:jc w:val="both"/>
      </w:pPr>
    </w:p>
    <w:p w:rsidR="008D5F86" w:rsidRDefault="008D5F86" w:rsidP="008D5F86">
      <w:pPr>
        <w:ind w:firstLineChars="295" w:firstLine="708"/>
        <w:jc w:val="both"/>
      </w:pPr>
    </w:p>
    <w:p w:rsidR="008D5F86" w:rsidRDefault="008D5F86" w:rsidP="008D5F86">
      <w:pPr>
        <w:ind w:firstLineChars="295" w:firstLine="708"/>
        <w:jc w:val="both"/>
      </w:pPr>
    </w:p>
    <w:p w:rsidR="008D5F86" w:rsidRDefault="008D5F86" w:rsidP="008D5F86">
      <w:pPr>
        <w:ind w:firstLineChars="295" w:firstLine="708"/>
        <w:jc w:val="both"/>
        <w:rPr>
          <w:b/>
        </w:rPr>
      </w:pPr>
      <w:proofErr w:type="gramStart"/>
      <w:r>
        <w:t>regular</w:t>
      </w:r>
      <w:proofErr w:type="gramEnd"/>
      <w:r>
        <w:t xml:space="preserve"> tramitação, será adotada a medida prevista no inciso II do § 1º.</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3º </w:t>
      </w:r>
      <w:r>
        <w:t>Quando a manipulação puder prejudicar a integridade da informação ou do documento, a Câmara deverá indicar data, local e modo para consulta, ou disponibilizar cópia, com certificação de que confere com o original.</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4º </w:t>
      </w:r>
      <w:r>
        <w:t>Na impossibilidade de obtenção de cópia de que trata o § 3º, o requerente poderá solicitar que, às suas expensas e sob supervisão de servidor público, a reprodução seja feita por outro meio que não ponha em risco a integridade do documento original.</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15.  </w:t>
      </w:r>
      <w:r>
        <w:t>O prazo para resposta do pedido poderá ser prorrogado por dez dias, mediante justificativa encaminhada ao requerente antes do término do prazo inicial de vinte dias.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16.  </w:t>
      </w:r>
      <w:r>
        <w:t>Caso a informação esteja disponível ao público em formato impresso, eletrônico ou em outro meio de acesso universal, a Câmara deverá orientar o requerente quanto ao local e modo para consultar, obter ou reproduzir a informação.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17.  </w:t>
      </w:r>
      <w:r>
        <w:t>Quando o fornecimento da informação implicar reprodução de documentos, a Câmara, observado o prazo de resposta ao pedido, disponibilizará ao requerente Guia de Recolhimento ou documento equivalente, para pagamento dos custos dos serviços e dos materiais utilizados.</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Parágrafo Único </w:t>
      </w:r>
      <w:r>
        <w:t>- A reprodução de documentos ocorrerá no prazo de dez dias, contado da comprovação do pagamento pelo requerente ou da entrega de declaração de pobreza por ele firmada, nos termos da Lei nº 7.115, de 1983, ressalvadas hipóteses justificadas em que, devido ao volume ou ao estado dos documentos, a reprodução demande prazo superior.</w:t>
      </w:r>
    </w:p>
    <w:p w:rsidR="008D5F86" w:rsidRDefault="008D5F86" w:rsidP="008D5F86">
      <w:pPr>
        <w:ind w:firstLineChars="295" w:firstLine="708"/>
        <w:jc w:val="both"/>
      </w:pPr>
    </w:p>
    <w:p w:rsidR="008D5F86" w:rsidRDefault="008D5F86" w:rsidP="008D5F86">
      <w:pPr>
        <w:ind w:firstLineChars="295" w:firstLine="711"/>
        <w:jc w:val="both"/>
      </w:pPr>
      <w:r>
        <w:rPr>
          <w:b/>
        </w:rPr>
        <w:t xml:space="preserve">Art. 18.  </w:t>
      </w:r>
      <w:r>
        <w:t>Negado o pedido de acesso à informação, será enviada ao requerente, no prazo de resposta, comunicação com:</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 - </w:t>
      </w:r>
      <w:r>
        <w:t>Razões da negativa de acesso e seu fundamento legal;</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II </w:t>
      </w:r>
      <w:r>
        <w:t xml:space="preserve">- Possibilidade e prazo de recurso, com indicação da autoridade que o apreciará; </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 </w:t>
      </w:r>
      <w:r>
        <w:t>Possibilidade de apresentação de pedido de desclassificação da informação, quando for o caso, com indicação da autoridade classificadora que o apreciará.</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1º </w:t>
      </w:r>
      <w:r>
        <w:t>As razões de negativa de acesso à informação classificada indicarão o fundamento legal da classificação, a autoridade que a classificou e o código de indexação do documento classificado.</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 2º </w:t>
      </w:r>
      <w:r>
        <w:t>Os órgãos e entidades disponibilizarão formulário padrão para apresentação de recurso e de pedido de desclassificação.</w:t>
      </w:r>
    </w:p>
    <w:p w:rsidR="008D5F86" w:rsidRDefault="008D5F86" w:rsidP="008D5F86">
      <w:pPr>
        <w:ind w:firstLineChars="295" w:firstLine="711"/>
        <w:jc w:val="both"/>
        <w:rPr>
          <w:b/>
          <w:color w:val="FF0000"/>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19.  </w:t>
      </w:r>
      <w:r>
        <w:t>No caso de negativa de acesso à informação ou de não fornecimento das razões da negativa do acesso, poderá o requerente apresentar recurso no prazo de dez dias, contado da ciência da decisão, à autoridade hierarquicamente superior à que adotou a decisão, que deverá apreciá-lo no prazo de cinco dias, contado da sua apresentação.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jc w:val="center"/>
        <w:rPr>
          <w:b/>
        </w:rPr>
      </w:pPr>
      <w:r>
        <w:rPr>
          <w:b/>
        </w:rPr>
        <w:t>CAPÍTULO V</w:t>
      </w:r>
    </w:p>
    <w:p w:rsidR="008D5F86" w:rsidRDefault="008D5F86" w:rsidP="008D5F86">
      <w:pPr>
        <w:jc w:val="center"/>
        <w:rPr>
          <w:b/>
        </w:rPr>
      </w:pPr>
      <w:r>
        <w:rPr>
          <w:b/>
        </w:rPr>
        <w:t>DAS INFORMAÇÕES CLASSIFICADAS EM GRAU DE SIGILO</w:t>
      </w:r>
    </w:p>
    <w:p w:rsidR="008D5F86" w:rsidRDefault="008D5F86" w:rsidP="008D5F86">
      <w:pPr>
        <w:ind w:firstLineChars="295" w:firstLine="711"/>
        <w:jc w:val="both"/>
        <w:rPr>
          <w:b/>
        </w:rPr>
      </w:pPr>
    </w:p>
    <w:p w:rsidR="008D5F86" w:rsidRDefault="008D5F86" w:rsidP="008D5F86">
      <w:pPr>
        <w:jc w:val="center"/>
        <w:rPr>
          <w:b/>
        </w:rPr>
      </w:pPr>
      <w:r>
        <w:rPr>
          <w:b/>
        </w:rPr>
        <w:t>DA CLASSIFICAÇÃO DE INFORMAÇÕES</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20.  </w:t>
      </w:r>
      <w:r>
        <w:t>São passíveis de classificação as informações consideradas imprescindíveis à segurança da sociedade ou do Estado, cuja divulgação ou acesso irrestrito possam:</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 - </w:t>
      </w:r>
      <w:r>
        <w:t>Pôr em risco a defesa e a soberania do município ou a integridade do território municipal;</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II - </w:t>
      </w:r>
      <w:r>
        <w:t>Prejudicar ou pôr em risco a condução de negociações ou as relações intermunicipais;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 </w:t>
      </w:r>
      <w:r>
        <w:t>Pôr em risco a vida, a segurança ou a saúde da população;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IV - </w:t>
      </w:r>
      <w:r>
        <w:t>Comprometer atividades de inteligência, de investigação ou de fiscalização em andamento, relacionadas com prevenção ou repressão de infrações;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V - </w:t>
      </w:r>
      <w:r>
        <w:t>As enquadradas no Art. 5º da Lei Municipal 1.260/2014.</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leftChars="-1" w:left="-2" w:firstLine="2"/>
        <w:jc w:val="center"/>
        <w:rPr>
          <w:b/>
        </w:rPr>
      </w:pPr>
      <w:r>
        <w:rPr>
          <w:b/>
        </w:rPr>
        <w:t>CAPÍTULO VI</w:t>
      </w:r>
    </w:p>
    <w:p w:rsidR="008D5F86" w:rsidRDefault="008D5F86" w:rsidP="008D5F86">
      <w:pPr>
        <w:ind w:leftChars="-1" w:left="-2" w:firstLine="2"/>
        <w:jc w:val="center"/>
        <w:rPr>
          <w:b/>
        </w:rPr>
      </w:pPr>
      <w:r>
        <w:rPr>
          <w:b/>
        </w:rPr>
        <w:t>DAS INFORMAÇÕES PESSOAIS</w:t>
      </w:r>
    </w:p>
    <w:p w:rsidR="008D5F86" w:rsidRDefault="008D5F86" w:rsidP="008D5F86">
      <w:pPr>
        <w:ind w:leftChars="-1" w:left="-2" w:firstLine="2"/>
        <w:jc w:val="center"/>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21.  </w:t>
      </w:r>
      <w:r>
        <w:t>As informações pessoais relativas à intimidade, vida privada, honra e imagem:</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 - </w:t>
      </w:r>
      <w:r>
        <w:t>Terão acesso restrito a agentes públicos legalmente autorizados e a pessoa a que se referirem, independentemente de classificação de sigilo; e</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II - </w:t>
      </w:r>
      <w:r>
        <w:t>Poderão ter sua divulgação ou acesso por terceiros autorizados por previsão legal ou consentimento expresso da pessoa a que se referirem.</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Parágrafo Único - </w:t>
      </w:r>
      <w:r>
        <w:t xml:space="preserve">Caso o titular das informações pessoais esteja morto ou ausente, os direitos de que trata este artigo assistem ao cônjuge ou companheiro, aos descendentes </w:t>
      </w:r>
    </w:p>
    <w:p w:rsidR="008D5F86" w:rsidRDefault="008D5F86" w:rsidP="008D5F86">
      <w:pPr>
        <w:jc w:val="both"/>
      </w:pPr>
    </w:p>
    <w:p w:rsidR="008D5F86" w:rsidRDefault="008D5F86" w:rsidP="008D5F86">
      <w:pPr>
        <w:jc w:val="both"/>
      </w:pPr>
    </w:p>
    <w:p w:rsidR="008D5F86" w:rsidRDefault="008D5F86" w:rsidP="008D5F86">
      <w:pPr>
        <w:jc w:val="both"/>
      </w:pPr>
    </w:p>
    <w:p w:rsidR="008D5F86" w:rsidRDefault="008D5F86" w:rsidP="008D5F86">
      <w:pPr>
        <w:jc w:val="both"/>
        <w:rPr>
          <w:b/>
        </w:rPr>
      </w:pPr>
      <w:proofErr w:type="gramStart"/>
      <w:r>
        <w:t>ou</w:t>
      </w:r>
      <w:proofErr w:type="gramEnd"/>
      <w:r>
        <w:t xml:space="preserve"> ascendentes, conforme o disposto no parágrafo único do art. 20 da Lei nº 10.406, de 10 de janeiro de 2002, e na Lei nº 9.278, de 10 de maio de 1996.</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22.  </w:t>
      </w:r>
      <w:r>
        <w:t>O tratamento das informações pessoais deve ser feito de forma transparente e com respeito à intimidade, vida privada, honra e imagem das pessoas, bem como às liberdades e garantias individuais.</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Art. 23.  </w:t>
      </w:r>
      <w:r>
        <w:t>O consentimento referido no inciso II do caput do art. 22 não será exigido quando o acesso a informação pessoal for necessário:</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 - </w:t>
      </w:r>
      <w:r>
        <w:t>À prevenção e diagnóstico médico, quando a pessoa estiver física ou legalmente incapaz, e para utilização exclusivamente para o tratamento médico;</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II - </w:t>
      </w:r>
      <w:r>
        <w:t>À realização de estatísticas e pesquisas científicas de evidente interesse público ou geral, previstos em lei, vedada a identificação da pessoa a que a informação se referir;</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III - </w:t>
      </w:r>
      <w:r>
        <w:t>Ao cumprimento de decisão judicial;</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IV - </w:t>
      </w:r>
      <w:r>
        <w:t>À defesa de direitos humanos de terceiros; ou</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V - </w:t>
      </w:r>
      <w:r>
        <w:t>À proteção do interesse público geral e preponderante.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24.  </w:t>
      </w:r>
      <w:r>
        <w:t>A restrição de acesso às informações pessoais de que trata o art. 22 não poderá ser invocada: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 - </w:t>
      </w:r>
      <w:r>
        <w:t>Com o intuito de prejudicar processo de apuração de irregularidades, conduzido pelo Poder Público, em que o titular das informações for parte ou interessado; ou</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Quando as informações pessoais não classificadas estiverem contidas em conjuntos de documentos necessários à recuperação de fatos históricos de maior relevância.</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Art. 25.  </w:t>
      </w:r>
      <w:r>
        <w:t>O acesso à informação pessoal por terceiros será condicionado à assinatura de um termo de responsabilidade, que disporá sobre a finalidade e a destinação que fundamentaram sua autorização, sobre as obrigações a que se submeterá o requerente.</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 1º </w:t>
      </w:r>
      <w:r>
        <w:t>A utilização de informação pessoal por terceiros vincula-se à finalidade e à destinação que fundamentaram a autorização do acesso, vedada sua utilização de maneira diversa.</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 2º </w:t>
      </w:r>
      <w:r>
        <w:t>Aquele que obtiver acesso às informações pessoais de terceiros será responsabilizado por seu uso indevido, na forma da lei.</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26.  </w:t>
      </w:r>
      <w:r>
        <w:t>Aplica-se, no que couber, a Lei nº 9.507, de 12 de novembro de 1997, em relação à informação de pessoa, natural ou jurídica, constante de registro ou banco de dados de órgãos ou entidades governamentais ou de caráter público.</w:t>
      </w:r>
    </w:p>
    <w:p w:rsidR="008D5F86" w:rsidRDefault="008D5F86" w:rsidP="008D5F86">
      <w:pPr>
        <w:ind w:firstLineChars="295" w:firstLine="711"/>
        <w:jc w:val="both"/>
        <w:rPr>
          <w:b/>
        </w:rPr>
      </w:pPr>
    </w:p>
    <w:p w:rsidR="008D5F86" w:rsidRDefault="008D5F86" w:rsidP="008D5F86">
      <w:pPr>
        <w:jc w:val="center"/>
        <w:rPr>
          <w:b/>
        </w:rPr>
      </w:pPr>
    </w:p>
    <w:p w:rsidR="008D5F86" w:rsidRDefault="008D5F86" w:rsidP="008D5F86">
      <w:pPr>
        <w:jc w:val="center"/>
        <w:rPr>
          <w:b/>
        </w:rPr>
      </w:pPr>
      <w:r>
        <w:rPr>
          <w:b/>
        </w:rPr>
        <w:t>CAPÍTULO VIII</w:t>
      </w:r>
    </w:p>
    <w:p w:rsidR="008D5F86" w:rsidRDefault="008D5F86" w:rsidP="008D5F86">
      <w:pPr>
        <w:jc w:val="center"/>
        <w:rPr>
          <w:b/>
        </w:rPr>
      </w:pPr>
      <w:r>
        <w:rPr>
          <w:b/>
        </w:rPr>
        <w:t>DA COMPOSIÇÃO DA COMISSÃO DO SERVIÇO DE INFORMAÇÃO AO CIDADÃO - SIC</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Art. 27.  </w:t>
      </w:r>
      <w:r>
        <w:t>O Serviço de Informação ao Cidadão - SIC será constituído por até 2 (dois) servidores designados pelo Presidente da Câmara de Vereadores, podendo ser efetivos ou detentores de cargo em comissão ou função gratificada.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1º </w:t>
      </w:r>
      <w:r>
        <w:t>Os servidores que vierem a ser designados na forma deste artigo deverão ser submetidos, de forma regular e permanente, a treinamentos e avaliações de desempenho de atividades, com o objetivo de manter-se a condição indispensável para a sua permanência no exercício da função, bem como para garantir a eficiência do Serviço de Informação ao Cidadão - SIC.</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2º </w:t>
      </w:r>
      <w:r>
        <w:t>Os servidores designados para atuarem no Serviço de Informação ao Cidadão - SIC deverão desempenhar com zelo, integridade e eficiência as funções deste serviço, sem prejuízo do cumprimento das atribuições próprias do cargo de origem.</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3º </w:t>
      </w:r>
      <w:r>
        <w:t xml:space="preserve">A função dos servidores que integrarem a comissão do Serviço de Informação ao Cidadão - SIC compreende a responsabilidade pela autuação, instrução, acompanhamento de diligências relativas aos expedientes de pedidos de acesso à informação, a disponibilização de informações públicas, a deliberação sobre os pedidos de acesso em primeira instância, o recebimento, processamento e o encaminhamento à autoridade superior dos recursos interpostos das suas decisões. </w:t>
      </w:r>
    </w:p>
    <w:p w:rsidR="008D5F86" w:rsidRDefault="008D5F86" w:rsidP="008D5F86">
      <w:pPr>
        <w:ind w:firstLineChars="295" w:firstLine="711"/>
        <w:jc w:val="both"/>
        <w:rPr>
          <w:b/>
        </w:rPr>
      </w:pPr>
    </w:p>
    <w:p w:rsidR="008D5F86" w:rsidRDefault="008D5F86" w:rsidP="008D5F86">
      <w:pPr>
        <w:ind w:leftChars="-1" w:left="-2" w:firstLine="2"/>
        <w:jc w:val="center"/>
        <w:rPr>
          <w:b/>
        </w:rPr>
      </w:pPr>
      <w:r>
        <w:rPr>
          <w:b/>
        </w:rPr>
        <w:t>CAPÍTULO IX</w:t>
      </w:r>
    </w:p>
    <w:p w:rsidR="008D5F86" w:rsidRDefault="008D5F86" w:rsidP="008D5F86">
      <w:pPr>
        <w:ind w:leftChars="-1" w:left="-2" w:firstLine="2"/>
        <w:jc w:val="center"/>
        <w:rPr>
          <w:b/>
        </w:rPr>
      </w:pPr>
      <w:r>
        <w:rPr>
          <w:b/>
        </w:rPr>
        <w:t>DAS RESPONSABILIDADES</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Art. 28. </w:t>
      </w:r>
      <w:r>
        <w:t xml:space="preserve"> Constituem condutas ilícitas que ensejam responsabilidade do agente público: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 - </w:t>
      </w:r>
      <w:r>
        <w:t>Recusar-se a fornecer informação requerida nos termos desta Resolução, retardar deliberadamente o seu fornecimento ou fornecê-la intencionalmente de forma incorreta, incompleta ou imprecisa;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Utilizar indevidamente, subtrair, destruir, inutilizar, desfigurar, alterar ou ocultar, total ou parcialmente, informação que se encontre sob sua guarda, a que tenha acesso ou sobre que tenha conhecimento em razão do exercício das atribuições de cargo, emprego ou função pública;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 </w:t>
      </w:r>
      <w:r>
        <w:t>Agir com dolo ou má-fé na análise dos pedidos de acesso a informação;</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IV - </w:t>
      </w:r>
      <w:r>
        <w:t>Divulgar, permitir a divulgação, acessar ou permitir acesso indevido a informação classificada em grau de sigilo ou a informação pessoal;</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V - </w:t>
      </w:r>
      <w:r>
        <w:t xml:space="preserve">Impor sigilo à informação para obter proveito pessoal ou de </w:t>
      </w:r>
      <w:proofErr w:type="spellStart"/>
      <w:r>
        <w:t>terceiro</w:t>
      </w:r>
      <w:proofErr w:type="spellEnd"/>
      <w:r>
        <w:t>, ou para fins de ocultação de ato ilegal cometido por si ou por outrem;</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VI - </w:t>
      </w:r>
      <w:r>
        <w:t>Ocultar da revisão de autoridade superior competente informação classificada em grau de sigilo para beneficiar a si ou a outrem, ou em prejuízo de terceiros; e</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VII - </w:t>
      </w:r>
      <w:r>
        <w:t>Destruir ou subtrair, por qualquer meio, documentos concernentes a possíveis violações de direitos humanos por parte de agentes do Estado.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29. </w:t>
      </w:r>
      <w:r>
        <w:t xml:space="preserve"> A pessoa natural ou entidade privada que detiver informações em virtude de vínculo de qualquer natureza com o Poder Público, estará sujeita às seguintes sanções:</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 - </w:t>
      </w:r>
      <w:r>
        <w:t>Advertência;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 </w:t>
      </w:r>
      <w:r>
        <w:t>Multa;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III - </w:t>
      </w:r>
      <w:r>
        <w:t>Rescisão do vínculo com o Poder Público;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IV - </w:t>
      </w:r>
      <w:r>
        <w:rPr>
          <w:sz w:val="28"/>
        </w:rPr>
        <w:t>S</w:t>
      </w:r>
      <w:r>
        <w:t>uspensão temporária de participar em licitação e impedimento de contratar com a administração pública por prazo não superior a dois anos; 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V - </w:t>
      </w:r>
      <w:r>
        <w:t>Declaração de inidoneidade para licitar ou contratar com a administração pública, até que seja promovida a reabilitação perante a autoridade que aplicou a penalidade.</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1º </w:t>
      </w:r>
      <w:r>
        <w:t>A sanção de multa poderá ser aplicada juntamente com as sanções previstas nos incisos I, III e IV do caput.</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2º </w:t>
      </w:r>
      <w:r>
        <w:t>A multa prevista no inciso II do caput será aplicada sem prejuízo da reparação pelos danos e não poderá ser:</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I </w:t>
      </w:r>
      <w:r>
        <w:t>- Inferior a R$ 100,00 (cem reais) nem superior a R$ 1.000,00 (mil reais), no caso de pessoa física; ou</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II </w:t>
      </w:r>
      <w:r>
        <w:t>- Inferior a R$ 500,00 (quinhentos reais) nem superior a R$ 5.000,00 (cinco mil reais), no caso de entidade privada.</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3º </w:t>
      </w:r>
      <w:r>
        <w:t>A reabilitação referida no inciso V do caput será autorizada somente quando a pessoa natural ou entidade privada efetivar o ressarcimento ao órgão ou entidade dos prejuízos resultantes e depois de decorrido o prazo da sanção aplicada com base no inciso IV do caput.</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 4º </w:t>
      </w:r>
      <w:r>
        <w:t>A aplicação da sanção prevista no inciso V do caput é de competência exclusiva da autoridade máxima do órgão ou entidade pública.</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 5º </w:t>
      </w:r>
      <w:r>
        <w:t>O prazo para apresentação de defesa nas hipóteses previstas neste artigo é de dez dias, contado da ciência do ato.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jc w:val="center"/>
        <w:rPr>
          <w:b/>
        </w:rPr>
      </w:pPr>
    </w:p>
    <w:p w:rsidR="008D5F86" w:rsidRDefault="008D5F86" w:rsidP="008D5F86">
      <w:pPr>
        <w:jc w:val="center"/>
        <w:rPr>
          <w:b/>
        </w:rPr>
      </w:pPr>
      <w:r>
        <w:rPr>
          <w:b/>
        </w:rPr>
        <w:t>CAPÍTULO XI</w:t>
      </w:r>
    </w:p>
    <w:p w:rsidR="008D5F86" w:rsidRDefault="008D5F86" w:rsidP="008D5F86">
      <w:pPr>
        <w:jc w:val="center"/>
        <w:rPr>
          <w:b/>
        </w:rPr>
      </w:pPr>
      <w:r>
        <w:rPr>
          <w:b/>
        </w:rPr>
        <w:t>DISPOSIÇÕES TRANSITÓRIAS E FINAIS</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Art. 30.  </w:t>
      </w:r>
      <w:r>
        <w:t>O poder Legislativo Municipal adequará suas políticas de gestão da informação, promovendo continuamente os ajustes necessários aos processos de registro, processamento, trâmite e arquivamento de documentos e informações.</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Art. 31.  </w:t>
      </w:r>
      <w:r>
        <w:t>Fica estipulado o prazo de 1 (um) ano, a contar desta Resolução para instituição da Comissão do Serviço de Informação ao Cidadão.</w:t>
      </w: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 xml:space="preserve">Parágrafo Único - </w:t>
      </w:r>
      <w:r>
        <w:t>Até a instituição da referida Comissão, fica designado a Supervisora desta Casa Legislativa como responsável pelo Serviço de Informações ao Cidadão - SIC.</w:t>
      </w:r>
    </w:p>
    <w:p w:rsidR="008D5F86" w:rsidRDefault="008D5F86" w:rsidP="008D5F86">
      <w:pPr>
        <w:ind w:firstLineChars="295" w:firstLine="711"/>
        <w:jc w:val="both"/>
        <w:rPr>
          <w:b/>
        </w:rPr>
      </w:pPr>
    </w:p>
    <w:p w:rsidR="008D5F86" w:rsidRDefault="008D5F86" w:rsidP="008D5F86">
      <w:pPr>
        <w:ind w:firstLineChars="295" w:firstLine="711"/>
        <w:jc w:val="both"/>
      </w:pPr>
      <w:r>
        <w:rPr>
          <w:b/>
        </w:rPr>
        <w:t xml:space="preserve">Art. 32.  </w:t>
      </w:r>
      <w:r>
        <w:t>Esta Resolução entra em vigor na data de sua publicação.</w:t>
      </w:r>
    </w:p>
    <w:p w:rsidR="008D5F86" w:rsidRDefault="008D5F86" w:rsidP="008D5F86">
      <w:pPr>
        <w:ind w:firstLineChars="295" w:firstLine="711"/>
        <w:jc w:val="both"/>
        <w:rPr>
          <w:b/>
        </w:rPr>
      </w:pPr>
    </w:p>
    <w:p w:rsidR="008D5F86" w:rsidRDefault="008D5F86" w:rsidP="008D5F86">
      <w:pPr>
        <w:ind w:firstLineChars="295" w:firstLine="711"/>
        <w:jc w:val="both"/>
        <w:rPr>
          <w:b/>
        </w:rPr>
      </w:pPr>
    </w:p>
    <w:p w:rsidR="008D5F86" w:rsidRDefault="008D5F86" w:rsidP="008D5F86">
      <w:pPr>
        <w:ind w:firstLineChars="295" w:firstLine="711"/>
        <w:jc w:val="both"/>
        <w:rPr>
          <w:b/>
        </w:rPr>
      </w:pPr>
      <w:r>
        <w:rPr>
          <w:b/>
        </w:rPr>
        <w:t>Sala Legislativa Nov</w:t>
      </w:r>
      <w:r>
        <w:rPr>
          <w:b/>
        </w:rPr>
        <w:t>a Roma do Sul, em 17 de dezembro</w:t>
      </w:r>
      <w:r>
        <w:rPr>
          <w:b/>
        </w:rPr>
        <w:t xml:space="preserve"> de 2015.</w:t>
      </w:r>
    </w:p>
    <w:p w:rsidR="008D5F86" w:rsidRDefault="008D5F86" w:rsidP="008D5F86">
      <w:pPr>
        <w:ind w:firstLineChars="295" w:firstLine="708"/>
        <w:jc w:val="both"/>
      </w:pPr>
    </w:p>
    <w:p w:rsidR="008D5F86" w:rsidRDefault="008D5F86" w:rsidP="008D5F86">
      <w:pPr>
        <w:ind w:firstLineChars="295" w:firstLine="708"/>
        <w:jc w:val="both"/>
      </w:pPr>
    </w:p>
    <w:p w:rsidR="008D5F86" w:rsidRDefault="008D5F86" w:rsidP="008D5F86">
      <w:pPr>
        <w:ind w:firstLineChars="295" w:firstLine="708"/>
        <w:jc w:val="both"/>
      </w:pPr>
    </w:p>
    <w:p w:rsidR="008D5F86" w:rsidRDefault="008D5F86" w:rsidP="008D5F86">
      <w:pPr>
        <w:ind w:firstLineChars="295" w:firstLine="708"/>
        <w:jc w:val="both"/>
      </w:pPr>
    </w:p>
    <w:p w:rsidR="008D5F86" w:rsidRDefault="008D5F86" w:rsidP="008D5F86">
      <w:pPr>
        <w:ind w:firstLineChars="295" w:firstLine="708"/>
        <w:jc w:val="both"/>
      </w:pPr>
    </w:p>
    <w:p w:rsidR="008D5F86" w:rsidRDefault="008D5F86" w:rsidP="008D5F86">
      <w:pPr>
        <w:ind w:firstLineChars="295" w:firstLine="708"/>
        <w:jc w:val="both"/>
        <w:rPr>
          <w:b/>
          <w:i/>
        </w:rPr>
      </w:pPr>
      <w:r>
        <w:tab/>
      </w:r>
      <w:r>
        <w:tab/>
      </w:r>
      <w:r>
        <w:tab/>
      </w:r>
      <w:r>
        <w:rPr>
          <w:b/>
          <w:i/>
        </w:rPr>
        <w:t>ZELVIR ANSELMO SANTI</w:t>
      </w:r>
    </w:p>
    <w:p w:rsidR="008D5F86" w:rsidRDefault="008D5F86" w:rsidP="008D5F86">
      <w:pPr>
        <w:ind w:firstLineChars="295" w:firstLine="711"/>
        <w:jc w:val="both"/>
        <w:rPr>
          <w:b/>
          <w:i/>
        </w:rPr>
      </w:pPr>
      <w:r>
        <w:rPr>
          <w:b/>
          <w:i/>
        </w:rPr>
        <w:tab/>
      </w:r>
      <w:r>
        <w:rPr>
          <w:b/>
          <w:i/>
        </w:rPr>
        <w:tab/>
      </w:r>
      <w:r>
        <w:rPr>
          <w:b/>
          <w:i/>
        </w:rPr>
        <w:tab/>
      </w:r>
      <w:r>
        <w:rPr>
          <w:b/>
          <w:i/>
        </w:rPr>
        <w:tab/>
        <w:t>Presidente</w:t>
      </w: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bookmarkStart w:id="0" w:name="_GoBack"/>
      <w:bookmarkEnd w:id="0"/>
    </w:p>
    <w:p w:rsidR="008D5F86" w:rsidRDefault="008D5F86" w:rsidP="008D5F86">
      <w:pPr>
        <w:ind w:firstLineChars="295" w:firstLine="711"/>
        <w:jc w:val="both"/>
        <w:rPr>
          <w:b/>
          <w:i/>
        </w:rPr>
      </w:pPr>
      <w:r>
        <w:rPr>
          <w:b/>
          <w:i/>
        </w:rPr>
        <w:t xml:space="preserve">                                          ADI SCAPINELLO </w:t>
      </w:r>
    </w:p>
    <w:p w:rsidR="008D5F86" w:rsidRDefault="008D5F86" w:rsidP="008D5F86">
      <w:pPr>
        <w:ind w:firstLineChars="295" w:firstLine="711"/>
        <w:jc w:val="both"/>
        <w:rPr>
          <w:b/>
          <w:i/>
        </w:rPr>
      </w:pPr>
      <w:r>
        <w:rPr>
          <w:b/>
          <w:i/>
        </w:rPr>
        <w:t xml:space="preserve">                                              Vice Presidente </w:t>
      </w: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r>
        <w:rPr>
          <w:b/>
          <w:i/>
        </w:rPr>
        <w:t>CRISTIANO PANOZZO                                   MÁRCIO ANDRÉ ROSSI</w:t>
      </w:r>
    </w:p>
    <w:p w:rsidR="008D5F86" w:rsidRDefault="008D5F86" w:rsidP="008D5F86">
      <w:pPr>
        <w:ind w:firstLineChars="295" w:firstLine="711"/>
        <w:jc w:val="both"/>
        <w:rPr>
          <w:b/>
          <w:i/>
        </w:rPr>
      </w:pPr>
      <w:r>
        <w:rPr>
          <w:b/>
          <w:i/>
        </w:rPr>
        <w:t xml:space="preserve">      1º Secretário                                                           2º Secretário</w:t>
      </w: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p>
    <w:p w:rsidR="008D5F86" w:rsidRDefault="008D5F86" w:rsidP="008D5F86">
      <w:pPr>
        <w:ind w:firstLineChars="295" w:firstLine="711"/>
        <w:jc w:val="both"/>
        <w:rPr>
          <w:b/>
          <w:i/>
        </w:rPr>
      </w:pPr>
    </w:p>
    <w:sectPr w:rsidR="008D5F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86"/>
    <w:rsid w:val="0046787C"/>
    <w:rsid w:val="004B55B0"/>
    <w:rsid w:val="008D5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8FC2A-5ACC-41BA-B6C1-F77B54AD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F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787C"/>
    <w:rPr>
      <w:rFonts w:ascii="Segoe UI" w:hAnsi="Segoe UI" w:cs="Segoe UI"/>
      <w:sz w:val="18"/>
      <w:szCs w:val="18"/>
    </w:rPr>
  </w:style>
  <w:style w:type="character" w:customStyle="1" w:styleId="TextodebaloChar">
    <w:name w:val="Texto de balão Char"/>
    <w:basedOn w:val="Fontepargpadro"/>
    <w:link w:val="Textodebalo"/>
    <w:uiPriority w:val="99"/>
    <w:semiHidden/>
    <w:rsid w:val="0046787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7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3421</Words>
  <Characters>18478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Camarav</dc:creator>
  <cp:keywords/>
  <dc:description/>
  <cp:lastModifiedBy>Camarav</cp:lastModifiedBy>
  <cp:revision>1</cp:revision>
  <cp:lastPrinted>2015-12-17T16:03:00Z</cp:lastPrinted>
  <dcterms:created xsi:type="dcterms:W3CDTF">2015-12-17T15:52:00Z</dcterms:created>
  <dcterms:modified xsi:type="dcterms:W3CDTF">2015-12-17T16:03:00Z</dcterms:modified>
</cp:coreProperties>
</file>