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>COMISSÃO DE DESENVOLVIMENTO ECONÔMICO, FISCALIZAÇAO E CONTROLE ORÇAMENTÁRIO.</w:t>
      </w:r>
    </w:p>
    <w:p w:rsidR="00BF2967" w:rsidRPr="00BF2967" w:rsidRDefault="00BF2967" w:rsidP="00BF2967">
      <w:pPr>
        <w:tabs>
          <w:tab w:val="left" w:pos="1358"/>
        </w:tabs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>PROJETO DE LEI Nº</w:t>
      </w:r>
      <w:r w:rsidRPr="00BF2967">
        <w:rPr>
          <w:rFonts w:ascii="Courier New" w:eastAsia="Calibri" w:hAnsi="Courier New" w:cs="Courier New"/>
          <w:sz w:val="28"/>
          <w:szCs w:val="28"/>
        </w:rPr>
        <w:t>: 1.605/2022</w:t>
      </w: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 xml:space="preserve">AUTOR: </w:t>
      </w:r>
      <w:r w:rsidRPr="00BF2967">
        <w:rPr>
          <w:rFonts w:ascii="Courier New" w:eastAsia="Calibri" w:hAnsi="Courier New" w:cs="Courier New"/>
          <w:sz w:val="28"/>
          <w:szCs w:val="28"/>
        </w:rPr>
        <w:t>Poder Executivo</w:t>
      </w: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color w:val="FF0000"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>Ementa</w:t>
      </w:r>
      <w:r w:rsidRPr="00BF2967">
        <w:rPr>
          <w:rFonts w:ascii="Courier New" w:eastAsia="Calibri" w:hAnsi="Courier New" w:cs="Courier New"/>
          <w:sz w:val="28"/>
          <w:szCs w:val="28"/>
        </w:rPr>
        <w:t>: “Estima a receita e fixa a despesa para o exercício financeiro de 2023”.</w:t>
      </w: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b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>RELATÓRIO</w:t>
      </w:r>
    </w:p>
    <w:p w:rsidR="00BF2967" w:rsidRPr="00BF2967" w:rsidRDefault="00BF2967" w:rsidP="00BF2967">
      <w:pPr>
        <w:spacing w:after="200" w:line="276" w:lineRule="auto"/>
        <w:ind w:firstLine="1418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Trata- se o presente Projeto de Lei Orçamentária Anual, para o exercício financeiro de 2023, encaminhado à está Comissão para análise e parecer.</w:t>
      </w:r>
    </w:p>
    <w:p w:rsidR="00BF2967" w:rsidRPr="00BF2967" w:rsidRDefault="00BF2967" w:rsidP="00BF2967">
      <w:pPr>
        <w:spacing w:before="204" w:after="204" w:line="396" w:lineRule="atLeast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 xml:space="preserve"> </w:t>
      </w: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A Lei Orçamentária autoriza o Executivo a gastar os recursos arrecadados para manter a administração, pagar os credores e fazer investimentos. A LOA materializa as diretrizes do direcionamento de gastos e despesas do governo, indicando qual será o orçamento público disponível para o próximo ano. A quantidade e a qualidade dos gastos e investimentos indicam qual o nível de prioridade em investir naquela área para que o plano estratégico alcance os resultados esperados.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Cabendo ressaltar que o Projeto de Lei Orçamentária deve observar as prioridades contidas no Plano Plurianual (PPA) e as metas que deverão ser atingidas durante o ano.</w:t>
      </w:r>
    </w:p>
    <w:p w:rsid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A lei Orçamentária estima a receita e autoriza as despesas de acordo com a previsão de arrecadação, e havendo a necessidade de realização de despesas acima do limite previsto na lei, o Poder Executivo submeterá a está casa Legislativa projeto de lei de crédito adicional.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No mais, o Plano Plurianual (PPA), a Lei de Diretrizes Orçamentárias (LDO) e a Lei Orçamentária Anual (LOA), são as três leis que regem o ciclo orçamentário, são estreitamente ligadas entre si, compatíveis e harmônicas. Elas formam um sistema integrado de planejamento e orçamento, reconhecido na Constituição Federal, que deve ser adotado pelos municípios, pelos estados e pela União.</w:t>
      </w:r>
    </w:p>
    <w:p w:rsidR="00BF2967" w:rsidRPr="00BF2967" w:rsidRDefault="00BF2967" w:rsidP="00BF2967">
      <w:pPr>
        <w:shd w:val="clear" w:color="auto" w:fill="FFFFFF"/>
        <w:spacing w:after="419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A LOA dividi- se nos seguintes orçamentos:</w:t>
      </w:r>
    </w:p>
    <w:p w:rsidR="00BF2967" w:rsidRPr="00BF2967" w:rsidRDefault="00BF2967" w:rsidP="00BF2967">
      <w:pPr>
        <w:shd w:val="clear" w:color="auto" w:fill="FFFFFF"/>
        <w:spacing w:after="419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 xml:space="preserve">a) </w:t>
      </w:r>
      <w:r w:rsidRPr="00BF2967">
        <w:rPr>
          <w:rFonts w:ascii="Courier New" w:eastAsia="Times New Roman" w:hAnsi="Courier New" w:cs="Courier New"/>
          <w:b/>
          <w:sz w:val="28"/>
          <w:szCs w:val="28"/>
          <w:lang w:eastAsia="pt-BR"/>
        </w:rPr>
        <w:t>Orçamento Fiscal</w:t>
      </w: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 xml:space="preserve">, que se refere a gastos com pessoal, custeio da máquina pública, transferência para outras    entidades administrativas e planejamento e execução de obras, aquisição de equipamentos, instalações, material permanente, etc. </w:t>
      </w:r>
    </w:p>
    <w:p w:rsidR="00BF2967" w:rsidRPr="00BF2967" w:rsidRDefault="00BF2967" w:rsidP="00BF2967">
      <w:pPr>
        <w:shd w:val="clear" w:color="auto" w:fill="FFFFFF"/>
        <w:spacing w:after="419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B)</w:t>
      </w:r>
      <w:r w:rsidRPr="00BF2967">
        <w:rPr>
          <w:rFonts w:ascii="Courier New" w:eastAsia="Times New Roman" w:hAnsi="Courier New" w:cs="Courier New"/>
          <w:b/>
          <w:sz w:val="28"/>
          <w:szCs w:val="28"/>
          <w:lang w:eastAsia="pt-BR"/>
        </w:rPr>
        <w:t xml:space="preserve"> Orçamento de Seguridade Social</w:t>
      </w: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, que abrange a Previdência Social, a Assistência Social e a Saúde Pública.</w:t>
      </w:r>
    </w:p>
    <w:p w:rsidR="00BF2967" w:rsidRPr="00BF2967" w:rsidRDefault="00BF2967" w:rsidP="00BF2967">
      <w:pPr>
        <w:shd w:val="clear" w:color="auto" w:fill="FFFFFF"/>
        <w:spacing w:after="419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 xml:space="preserve">O texto da LOA também aborda a chamada </w:t>
      </w:r>
      <w:r w:rsidRPr="00BF2967">
        <w:rPr>
          <w:rFonts w:ascii="Courier New" w:eastAsia="Times New Roman" w:hAnsi="Courier New" w:cs="Courier New"/>
          <w:b/>
          <w:sz w:val="28"/>
          <w:szCs w:val="28"/>
          <w:u w:val="single"/>
          <w:lang w:eastAsia="pt-BR"/>
        </w:rPr>
        <w:t>verba de contingência</w:t>
      </w: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, isto é, aquela dotação orçamentária destituída de destinação, o que possibilita seu uso para a abertura de créditos adicionais ao Executivo. Deste modo o presente projeto em cotejo, abrange os itens elencados.</w:t>
      </w:r>
    </w:p>
    <w:p w:rsidR="00BF2967" w:rsidRDefault="00BF2967" w:rsidP="00BF2967">
      <w:pPr>
        <w:shd w:val="clear" w:color="auto" w:fill="FFFFFF"/>
        <w:spacing w:after="419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</w:p>
    <w:p w:rsidR="00BF2967" w:rsidRPr="00BF2967" w:rsidRDefault="00BF2967" w:rsidP="00BF2967">
      <w:pPr>
        <w:shd w:val="clear" w:color="auto" w:fill="FFFFFF"/>
        <w:spacing w:after="419"/>
        <w:ind w:firstLine="851"/>
        <w:jc w:val="both"/>
        <w:textAlignment w:val="baseline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Façamos uma   breve análise, o que preconiza o art. 2º e seus incisos, referente ao projeto de lei em questão: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 xml:space="preserve"> A receita total estimada no Orçamento fiscal e Seguridade Social, com as deduções legais, é de </w:t>
      </w:r>
      <w:r w:rsidRPr="00BF2967">
        <w:rPr>
          <w:rFonts w:ascii="Courier New" w:eastAsia="Calibri" w:hAnsi="Courier New" w:cs="Courier New"/>
          <w:b/>
          <w:sz w:val="28"/>
          <w:szCs w:val="28"/>
          <w:u w:val="single"/>
        </w:rPr>
        <w:t>R$34.700.000,00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 (trinta e quatro milhões e setecentos mil reais). Subdividindo – se em: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>Orçamento Fiscal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 –</w:t>
      </w:r>
      <w:r w:rsidRPr="00BF2967">
        <w:rPr>
          <w:rFonts w:ascii="Courier New" w:eastAsia="Calibri" w:hAnsi="Courier New" w:cs="Courier New"/>
          <w:b/>
          <w:bCs/>
          <w:sz w:val="28"/>
          <w:szCs w:val="28"/>
        </w:rPr>
        <w:t>R$ 22.827.354,00</w:t>
      </w:r>
      <w:r w:rsidRPr="00BF2967">
        <w:rPr>
          <w:rFonts w:ascii="Courier New" w:eastAsia="Calibri" w:hAnsi="Courier New" w:cs="Courier New"/>
          <w:color w:val="FF0000"/>
          <w:sz w:val="28"/>
          <w:szCs w:val="28"/>
        </w:rPr>
        <w:t xml:space="preserve"> 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(vinte e dois milhões, oitocentos e vinte e sete mil e trezentos e cinquenta e quatro reais). 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b/>
          <w:sz w:val="28"/>
          <w:szCs w:val="28"/>
        </w:rPr>
        <w:t>Orçamento da Seguridade Social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- </w:t>
      </w:r>
      <w:r w:rsidRPr="00BF2967">
        <w:rPr>
          <w:rFonts w:ascii="Courier New" w:eastAsia="Calibri" w:hAnsi="Courier New" w:cs="Courier New"/>
          <w:b/>
          <w:bCs/>
          <w:sz w:val="28"/>
          <w:szCs w:val="28"/>
        </w:rPr>
        <w:t>R$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 </w:t>
      </w:r>
      <w:r w:rsidRPr="00BF2967">
        <w:rPr>
          <w:rFonts w:ascii="Courier New" w:eastAsia="Calibri" w:hAnsi="Courier New" w:cs="Courier New"/>
          <w:b/>
          <w:sz w:val="28"/>
          <w:szCs w:val="28"/>
        </w:rPr>
        <w:t>11.872.646,00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 (onze milhões, oitocentos e setenta e dois mil e seiscentos e quarenta e seis reais).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 xml:space="preserve">Assim como foram observados os anexos que compõem o referido projeto da lei Orçamentária Anual em análise, que cumpriu está forma os preceitos legais. </w:t>
      </w:r>
    </w:p>
    <w:p w:rsidR="00BF2967" w:rsidRDefault="00BF2967" w:rsidP="00BF2967">
      <w:pPr>
        <w:spacing w:before="100" w:beforeAutospacing="1" w:after="100" w:afterAutospacing="1"/>
        <w:ind w:firstLine="85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 xml:space="preserve">Desta forma a LOA estabelece a previsão de todas as receitas a serem arrecadadas no exercício financeiro e a fixação de todos os gastos que os Poderes e os órgãos estão autorizados a executar. Garante o gerenciamento anual das origens e aplicações de recursos, definindo os seus montantes e como serão aplicados pela administração pública. Compreende um conjunto de ações que abarcam desde a construção de uma visão de futuro até a definição e a execução de metas físicas e financeiras a serem atingidas e dos pormenores que possam ser vislumbrados. Representa a expressão monetária dos recursos que deverão ser mobilizados, no período específico de sua vigência, </w:t>
      </w:r>
    </w:p>
    <w:p w:rsidR="00BF2967" w:rsidRDefault="00BF2967" w:rsidP="00BF2967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</w:p>
    <w:p w:rsidR="00BF2967" w:rsidRPr="00BF2967" w:rsidRDefault="00BF2967" w:rsidP="00BF2967">
      <w:pPr>
        <w:spacing w:before="100" w:beforeAutospacing="1" w:after="100" w:afterAutospacing="1"/>
        <w:jc w:val="both"/>
        <w:rPr>
          <w:rFonts w:ascii="Courier New" w:eastAsia="Times New Roman" w:hAnsi="Courier New" w:cs="Courier New"/>
          <w:sz w:val="28"/>
          <w:szCs w:val="28"/>
          <w:lang w:eastAsia="pt-BR"/>
        </w:rPr>
      </w:pPr>
      <w:proofErr w:type="gramStart"/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visa</w:t>
      </w:r>
      <w:bookmarkStart w:id="0" w:name="_GoBack"/>
      <w:bookmarkEnd w:id="0"/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>ndo</w:t>
      </w:r>
      <w:proofErr w:type="gramEnd"/>
      <w:r w:rsidRPr="00BF2967">
        <w:rPr>
          <w:rFonts w:ascii="Courier New" w:eastAsia="Times New Roman" w:hAnsi="Courier New" w:cs="Courier New"/>
          <w:sz w:val="28"/>
          <w:szCs w:val="28"/>
          <w:lang w:eastAsia="pt-BR"/>
        </w:rPr>
        <w:t xml:space="preserve"> à execução das políticas públicas e do programa de trabalho do governo.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A Lei de Responsabilidade Fiscal, como forma de assegurar a transparência fiscal, incentiva à participação popular e a realização de audiências públicas, a divulgação nos meios eletrônicos de acesso, durante os processos de elaboração e de discussão da Lei Orçamentária Anual, conforme dispõe o art. 48 da lei de Responsabilidade Fiscal.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Nesse compasso, a Câmara Municipal além de seguir o procedimento legislativo especial regimental e legal, garantiu a plena participação popular, não só através da audiência pública, mas também com a divulgação integral do projeto de lei orçamentária anual de 2023 e seus anexos, para acesso de toda a comunidade.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Sendo cumprido o que determina a Constituição Federal, a lei Federal 4.320/64 e a lei complementar 101/2000, a lei Orgânica Municipal e o Regimento Interno no que diz respeito a desta matéria.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bookmarkStart w:id="1" w:name="art5iii"/>
      <w:bookmarkEnd w:id="1"/>
      <w:r w:rsidRPr="00BF2967">
        <w:rPr>
          <w:rFonts w:ascii="Courier New" w:eastAsia="Calibri" w:hAnsi="Courier New" w:cs="Courier New"/>
          <w:sz w:val="28"/>
          <w:szCs w:val="28"/>
        </w:rPr>
        <w:t>Já em relação ao mérito do projeto de nº 1.605/22, não apresenta qualquer ilegalidade, em que opinamos pela normal tramitação do Projeto.</w:t>
      </w:r>
    </w:p>
    <w:p w:rsidR="00BF2967" w:rsidRPr="00BF2967" w:rsidRDefault="00BF2967" w:rsidP="00BF2967">
      <w:pPr>
        <w:spacing w:after="200" w:line="276" w:lineRule="auto"/>
        <w:ind w:firstLine="851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Por todo exposto, a COMISSÃO</w:t>
      </w:r>
      <w:r w:rsidRPr="00BF2967">
        <w:rPr>
          <w:rFonts w:ascii="Courier New" w:eastAsia="Calibri" w:hAnsi="Courier New" w:cs="Courier New"/>
          <w:b/>
          <w:sz w:val="28"/>
          <w:szCs w:val="28"/>
        </w:rPr>
        <w:t xml:space="preserve"> DE DESENVOLVIMENTO ECONÔMICO, FISCALIZAÇAO E CONTROLE ORÇAMENTÁRIO, </w:t>
      </w:r>
      <w:r w:rsidRPr="00BF2967">
        <w:rPr>
          <w:rFonts w:ascii="Courier New" w:eastAsia="Calibri" w:hAnsi="Courier New" w:cs="Courier New"/>
          <w:sz w:val="28"/>
          <w:szCs w:val="28"/>
        </w:rPr>
        <w:t>vota FAVORÁVEL ao Projeto de Lei, que reúne as condições legais e necessárias para subir a Plenário da Câmara Municipal para apreciação na generalidade.</w:t>
      </w:r>
    </w:p>
    <w:p w:rsidR="00BF2967" w:rsidRPr="00BF2967" w:rsidRDefault="00BF2967" w:rsidP="00BF2967">
      <w:pPr>
        <w:autoSpaceDE w:val="0"/>
        <w:autoSpaceDN w:val="0"/>
        <w:adjustRightInd w:val="0"/>
        <w:jc w:val="both"/>
        <w:rPr>
          <w:rFonts w:ascii="Courier New" w:eastAsia="Calibri" w:hAnsi="Courier New" w:cs="Courier New"/>
          <w:color w:val="FF0000"/>
          <w:sz w:val="28"/>
          <w:szCs w:val="28"/>
        </w:rPr>
      </w:pPr>
    </w:p>
    <w:p w:rsid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CÂMARA MUNICIPAL DE VEREAD</w:t>
      </w:r>
      <w:r>
        <w:rPr>
          <w:rFonts w:ascii="Courier New" w:eastAsia="Calibri" w:hAnsi="Courier New" w:cs="Courier New"/>
          <w:sz w:val="28"/>
          <w:szCs w:val="28"/>
        </w:rPr>
        <w:t>ORES DE NOVA ROMA DO SUL, EM 30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 DE NOVEMBRO DE 2022.</w:t>
      </w:r>
    </w:p>
    <w:p w:rsid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______________________________</w:t>
      </w: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Ver. Márcio André Rossi</w:t>
      </w:r>
    </w:p>
    <w:p w:rsid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Presidente</w:t>
      </w: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_____________________________</w:t>
      </w: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Ver. Tiago Pasa</w:t>
      </w:r>
    </w:p>
    <w:p w:rsidR="00BF2967" w:rsidRDefault="00BF2967" w:rsidP="00BF2967">
      <w:pPr>
        <w:spacing w:after="200" w:line="276" w:lineRule="auto"/>
        <w:ind w:left="708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 xml:space="preserve"> </w:t>
      </w:r>
      <w:r>
        <w:rPr>
          <w:rFonts w:ascii="Courier New" w:eastAsia="Calibri" w:hAnsi="Courier New" w:cs="Courier New"/>
          <w:sz w:val="28"/>
          <w:szCs w:val="28"/>
        </w:rPr>
        <w:t>M</w:t>
      </w:r>
      <w:r w:rsidRPr="00BF2967">
        <w:rPr>
          <w:rFonts w:ascii="Courier New" w:eastAsia="Calibri" w:hAnsi="Courier New" w:cs="Courier New"/>
          <w:sz w:val="28"/>
          <w:szCs w:val="28"/>
        </w:rPr>
        <w:t>embro</w:t>
      </w:r>
    </w:p>
    <w:p w:rsidR="00BF2967" w:rsidRPr="00BF2967" w:rsidRDefault="00BF2967" w:rsidP="00BF2967">
      <w:pPr>
        <w:spacing w:after="200" w:line="276" w:lineRule="auto"/>
        <w:ind w:left="708"/>
        <w:jc w:val="center"/>
        <w:rPr>
          <w:rFonts w:ascii="Courier New" w:eastAsia="Calibri" w:hAnsi="Courier New" w:cs="Courier New"/>
          <w:sz w:val="28"/>
          <w:szCs w:val="28"/>
        </w:rPr>
      </w:pP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  <w:sz w:val="28"/>
          <w:szCs w:val="28"/>
        </w:rPr>
        <w:t>____________________________</w:t>
      </w: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 w:rsidRPr="00BF2967">
        <w:rPr>
          <w:rFonts w:ascii="Courier New" w:eastAsia="Calibri" w:hAnsi="Courier New" w:cs="Courier New"/>
        </w:rPr>
        <w:t xml:space="preserve">Ver. </w:t>
      </w:r>
      <w:r w:rsidRPr="00BF2967">
        <w:rPr>
          <w:rFonts w:ascii="Courier New" w:eastAsia="Calibri" w:hAnsi="Courier New" w:cs="Courier New"/>
          <w:sz w:val="28"/>
          <w:szCs w:val="28"/>
        </w:rPr>
        <w:t xml:space="preserve">Tiago Bet </w:t>
      </w:r>
    </w:p>
    <w:p w:rsidR="00BF2967" w:rsidRPr="00BF2967" w:rsidRDefault="00BF2967" w:rsidP="00BF2967">
      <w:pPr>
        <w:spacing w:after="200" w:line="276" w:lineRule="auto"/>
        <w:jc w:val="center"/>
        <w:rPr>
          <w:rFonts w:ascii="Courier New" w:eastAsia="Calibri" w:hAnsi="Courier New" w:cs="Courier New"/>
          <w:sz w:val="28"/>
          <w:szCs w:val="28"/>
        </w:rPr>
      </w:pPr>
      <w:r>
        <w:rPr>
          <w:rFonts w:ascii="Courier New" w:eastAsia="Calibri" w:hAnsi="Courier New" w:cs="Courier New"/>
          <w:sz w:val="28"/>
          <w:szCs w:val="28"/>
        </w:rPr>
        <w:t>M</w:t>
      </w:r>
      <w:r w:rsidRPr="00BF2967">
        <w:rPr>
          <w:rFonts w:ascii="Courier New" w:eastAsia="Calibri" w:hAnsi="Courier New" w:cs="Courier New"/>
          <w:sz w:val="28"/>
          <w:szCs w:val="28"/>
        </w:rPr>
        <w:t>embro</w:t>
      </w:r>
    </w:p>
    <w:p w:rsidR="00BF2967" w:rsidRPr="00BF2967" w:rsidRDefault="00BF2967" w:rsidP="00BF2967">
      <w:pPr>
        <w:spacing w:after="200" w:line="276" w:lineRule="auto"/>
        <w:jc w:val="both"/>
        <w:rPr>
          <w:rFonts w:ascii="Courier New" w:eastAsia="Calibri" w:hAnsi="Courier New" w:cs="Courier New"/>
        </w:rPr>
      </w:pPr>
    </w:p>
    <w:p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B4C" w:rsidRDefault="00133B4C" w:rsidP="001E5C53">
      <w:r>
        <w:separator/>
      </w:r>
    </w:p>
  </w:endnote>
  <w:endnote w:type="continuationSeparator" w:id="0">
    <w:p w:rsidR="00133B4C" w:rsidRDefault="00133B4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B4C" w:rsidRDefault="00133B4C" w:rsidP="001E5C53">
      <w:r>
        <w:separator/>
      </w:r>
    </w:p>
  </w:footnote>
  <w:footnote w:type="continuationSeparator" w:id="0">
    <w:p w:rsidR="00133B4C" w:rsidRDefault="00133B4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3B4C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BF2967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43A8E-D0F9-467F-BEA0-5364DF189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826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2022-11-16T21:30:00Z</cp:lastPrinted>
  <dcterms:created xsi:type="dcterms:W3CDTF">2022-11-16T21:30:00Z</dcterms:created>
  <dcterms:modified xsi:type="dcterms:W3CDTF">2022-11-16T21:30:00Z</dcterms:modified>
</cp:coreProperties>
</file>