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EAA" w:rsidRPr="00794F37" w:rsidRDefault="00175EAA" w:rsidP="00175EAA">
      <w:pPr>
        <w:ind w:right="-568"/>
        <w:rPr>
          <w:rFonts w:asciiTheme="majorHAnsi" w:eastAsia="Open Sans" w:hAnsiTheme="majorHAnsi" w:cstheme="majorHAnsi"/>
        </w:rPr>
      </w:pPr>
      <w:r>
        <w:rPr>
          <w:rFonts w:asciiTheme="majorHAnsi" w:hAnsiTheme="majorHAnsi" w:cstheme="majorHAnsi"/>
          <w:b/>
        </w:rPr>
        <w:t>PROPOSTA DE EMENDA</w:t>
      </w:r>
      <w:r w:rsidR="00B7695A">
        <w:rPr>
          <w:rFonts w:asciiTheme="majorHAnsi" w:hAnsiTheme="majorHAnsi" w:cstheme="majorHAnsi"/>
          <w:b/>
        </w:rPr>
        <w:t xml:space="preserve"> 01</w:t>
      </w:r>
      <w:bookmarkStart w:id="0" w:name="_GoBack"/>
      <w:bookmarkEnd w:id="0"/>
      <w:r w:rsidR="00221660">
        <w:rPr>
          <w:rFonts w:asciiTheme="majorHAnsi" w:hAnsiTheme="majorHAnsi" w:cstheme="majorHAnsi"/>
          <w:b/>
        </w:rPr>
        <w:t>/2021</w:t>
      </w:r>
      <w:r>
        <w:rPr>
          <w:rFonts w:asciiTheme="majorHAnsi" w:hAnsiTheme="majorHAnsi" w:cstheme="majorHAnsi"/>
          <w:b/>
        </w:rPr>
        <w:t xml:space="preserve"> AO PROJETO DE LEI </w:t>
      </w:r>
      <w:r w:rsidRPr="00794F37">
        <w:rPr>
          <w:rFonts w:asciiTheme="majorHAnsi" w:hAnsiTheme="majorHAnsi" w:cstheme="majorHAnsi"/>
          <w:b/>
        </w:rPr>
        <w:t>N</w:t>
      </w:r>
      <w:r>
        <w:rPr>
          <w:rFonts w:asciiTheme="majorHAnsi" w:hAnsiTheme="majorHAnsi" w:cstheme="majorHAnsi"/>
          <w:b/>
        </w:rPr>
        <w:t>° 1.527</w:t>
      </w:r>
      <w:r w:rsidRPr="00794F37">
        <w:rPr>
          <w:rFonts w:asciiTheme="majorHAnsi" w:hAnsiTheme="majorHAnsi" w:cstheme="majorHAnsi"/>
          <w:b/>
        </w:rPr>
        <w:t>/20</w:t>
      </w:r>
      <w:r>
        <w:rPr>
          <w:rFonts w:asciiTheme="majorHAnsi" w:hAnsiTheme="majorHAnsi" w:cstheme="majorHAnsi"/>
          <w:b/>
        </w:rPr>
        <w:t>21</w:t>
      </w:r>
    </w:p>
    <w:p w:rsidR="00175EAA" w:rsidRDefault="00175EAA" w:rsidP="00175EAA">
      <w:pPr>
        <w:spacing w:line="360" w:lineRule="auto"/>
        <w:ind w:left="4111"/>
        <w:jc w:val="both"/>
        <w:rPr>
          <w:rFonts w:asciiTheme="majorHAnsi" w:hAnsiTheme="majorHAnsi" w:cstheme="majorHAnsi"/>
        </w:rPr>
      </w:pPr>
    </w:p>
    <w:p w:rsidR="00175EAA" w:rsidRDefault="00175EAA" w:rsidP="00B66009">
      <w:pPr>
        <w:spacing w:line="360" w:lineRule="auto"/>
        <w:ind w:left="411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Altera o artigo 11 caput, §1º e §3º do Projeto de </w:t>
      </w:r>
      <w:r w:rsidR="00597D9F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>ei nº 1.527/2021, modificando a referência da base de cálculo da taxa de regularização de imóveis</w:t>
      </w:r>
      <w:r w:rsidRPr="00175EAA">
        <w:rPr>
          <w:rFonts w:asciiTheme="majorHAnsi" w:hAnsiTheme="majorHAnsi" w:cstheme="majorHAnsi"/>
        </w:rPr>
        <w:t>.</w:t>
      </w:r>
    </w:p>
    <w:p w:rsidR="00B66009" w:rsidRPr="00794F37" w:rsidRDefault="00B66009" w:rsidP="00B66009">
      <w:pPr>
        <w:spacing w:line="360" w:lineRule="auto"/>
        <w:ind w:left="4111"/>
        <w:jc w:val="both"/>
        <w:rPr>
          <w:rFonts w:asciiTheme="majorHAnsi" w:hAnsiTheme="majorHAnsi" w:cstheme="majorHAnsi"/>
        </w:rPr>
      </w:pPr>
    </w:p>
    <w:p w:rsidR="00175EAA" w:rsidRDefault="00175EAA" w:rsidP="00175EAA">
      <w:pPr>
        <w:spacing w:line="360" w:lineRule="auto"/>
        <w:jc w:val="both"/>
        <w:rPr>
          <w:rFonts w:asciiTheme="majorHAnsi" w:hAnsiTheme="majorHAnsi" w:cstheme="majorHAnsi"/>
        </w:rPr>
      </w:pPr>
      <w:r w:rsidRPr="00B22F61">
        <w:rPr>
          <w:rFonts w:asciiTheme="majorHAnsi" w:hAnsiTheme="majorHAnsi" w:cstheme="majorHAnsi"/>
        </w:rPr>
        <w:t>O</w:t>
      </w:r>
      <w:r w:rsidR="00B66009">
        <w:rPr>
          <w:rFonts w:asciiTheme="majorHAnsi" w:hAnsiTheme="majorHAnsi" w:cstheme="majorHAnsi"/>
        </w:rPr>
        <w:t>(</w:t>
      </w:r>
      <w:r>
        <w:rPr>
          <w:rFonts w:asciiTheme="majorHAnsi" w:hAnsiTheme="majorHAnsi" w:cstheme="majorHAnsi"/>
        </w:rPr>
        <w:t>s</w:t>
      </w:r>
      <w:r w:rsidR="00B66009">
        <w:rPr>
          <w:rFonts w:asciiTheme="majorHAnsi" w:hAnsiTheme="majorHAnsi" w:cstheme="majorHAnsi"/>
        </w:rPr>
        <w:t>)</w:t>
      </w:r>
      <w:r w:rsidRPr="00B22F6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vereador</w:t>
      </w:r>
      <w:r w:rsidR="00B66009">
        <w:rPr>
          <w:rFonts w:asciiTheme="majorHAnsi" w:hAnsiTheme="majorHAnsi" w:cstheme="majorHAnsi"/>
        </w:rPr>
        <w:t>(</w:t>
      </w:r>
      <w:r>
        <w:rPr>
          <w:rFonts w:asciiTheme="majorHAnsi" w:hAnsiTheme="majorHAnsi" w:cstheme="majorHAnsi"/>
        </w:rPr>
        <w:t>es</w:t>
      </w:r>
      <w:r w:rsidR="00B66009">
        <w:rPr>
          <w:rFonts w:asciiTheme="majorHAnsi" w:hAnsiTheme="majorHAnsi" w:cstheme="majorHAnsi"/>
        </w:rPr>
        <w:t>)</w:t>
      </w:r>
      <w:r w:rsidRPr="00B22F6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subscrito</w:t>
      </w:r>
      <w:r w:rsidR="00B66009">
        <w:rPr>
          <w:rFonts w:asciiTheme="majorHAnsi" w:hAnsiTheme="majorHAnsi" w:cstheme="majorHAnsi"/>
        </w:rPr>
        <w:t>(</w:t>
      </w:r>
      <w:r>
        <w:rPr>
          <w:rFonts w:asciiTheme="majorHAnsi" w:hAnsiTheme="majorHAnsi" w:cstheme="majorHAnsi"/>
        </w:rPr>
        <w:t>s</w:t>
      </w:r>
      <w:r w:rsidR="00B66009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</w:t>
      </w:r>
      <w:r w:rsidRPr="00B22F61">
        <w:rPr>
          <w:rFonts w:asciiTheme="majorHAnsi" w:hAnsiTheme="majorHAnsi" w:cstheme="majorHAnsi"/>
        </w:rPr>
        <w:t xml:space="preserve">propõem </w:t>
      </w:r>
      <w:r>
        <w:rPr>
          <w:rFonts w:asciiTheme="majorHAnsi" w:hAnsiTheme="majorHAnsi" w:cstheme="majorHAnsi"/>
        </w:rPr>
        <w:t xml:space="preserve">a alteração do artigo 11 caput, §1º e §3º do Projeto de </w:t>
      </w:r>
      <w:r w:rsidR="00597D9F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>ei nº 1.527/2021, mudando a referência para base de cálculo de R$ para URM</w:t>
      </w:r>
      <w:r w:rsidRPr="00175EAA">
        <w:rPr>
          <w:rFonts w:asciiTheme="majorHAnsi" w:hAnsiTheme="majorHAnsi" w:cstheme="majorHAnsi"/>
        </w:rPr>
        <w:t>,</w:t>
      </w:r>
      <w:r w:rsidR="00597D9F">
        <w:rPr>
          <w:rFonts w:asciiTheme="majorHAnsi" w:hAnsiTheme="majorHAnsi" w:cstheme="majorHAnsi"/>
        </w:rPr>
        <w:t xml:space="preserve"> adequando a </w:t>
      </w:r>
      <w:r w:rsidRPr="00175EAA">
        <w:rPr>
          <w:rFonts w:asciiTheme="majorHAnsi" w:hAnsiTheme="majorHAnsi" w:cstheme="majorHAnsi"/>
        </w:rPr>
        <w:t>taxa de regularização, configurando a seguinte redação:</w:t>
      </w:r>
      <w:r>
        <w:rPr>
          <w:rFonts w:asciiTheme="majorHAnsi" w:hAnsiTheme="majorHAnsi" w:cstheme="majorHAnsi"/>
        </w:rPr>
        <w:t xml:space="preserve"> </w:t>
      </w: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>“</w:t>
      </w:r>
      <w:r w:rsidRPr="00DE3B07">
        <w:rPr>
          <w:rFonts w:asciiTheme="majorHAnsi" w:hAnsiTheme="majorHAnsi" w:cstheme="majorHAnsi"/>
          <w:sz w:val="20"/>
        </w:rPr>
        <w:t>Art. 11. Para os fins a que trata a presente Lei, será cobrada taxa de regularização, calculada a partir do total de metros quadrados de área irregularmente construída, aplicando-se a seguinte fórmula:</w:t>
      </w: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8"/>
          <w:szCs w:val="10"/>
        </w:rPr>
      </w:pP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20"/>
        </w:rPr>
      </w:pPr>
      <w:r w:rsidRPr="00DE3B07">
        <w:rPr>
          <w:rFonts w:asciiTheme="majorHAnsi" w:hAnsiTheme="majorHAnsi" w:cstheme="majorHAnsi"/>
          <w:sz w:val="20"/>
        </w:rPr>
        <w:t>Valor (</w:t>
      </w:r>
      <w:r>
        <w:rPr>
          <w:rFonts w:asciiTheme="majorHAnsi" w:hAnsiTheme="majorHAnsi" w:cstheme="majorHAnsi"/>
          <w:sz w:val="20"/>
        </w:rPr>
        <w:t>URM</w:t>
      </w:r>
      <w:r w:rsidRPr="00DE3B07">
        <w:rPr>
          <w:rFonts w:asciiTheme="majorHAnsi" w:hAnsiTheme="majorHAnsi" w:cstheme="majorHAnsi"/>
          <w:sz w:val="20"/>
        </w:rPr>
        <w:t>) =</w:t>
      </w:r>
      <w:r>
        <w:rPr>
          <w:rFonts w:asciiTheme="majorHAnsi" w:hAnsiTheme="majorHAnsi" w:cstheme="majorHAnsi"/>
          <w:sz w:val="20"/>
        </w:rPr>
        <w:t xml:space="preserve"> </w:t>
      </w:r>
      <w:r w:rsidRPr="00DE3B07">
        <w:rPr>
          <w:rFonts w:asciiTheme="majorHAnsi" w:hAnsiTheme="majorHAnsi" w:cstheme="majorHAnsi"/>
          <w:sz w:val="20"/>
        </w:rPr>
        <w:t>Ai x i, sendo:</w:t>
      </w: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8"/>
          <w:szCs w:val="10"/>
        </w:rPr>
      </w:pP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20"/>
        </w:rPr>
      </w:pPr>
      <w:r w:rsidRPr="00DE3B07">
        <w:rPr>
          <w:rFonts w:asciiTheme="majorHAnsi" w:hAnsiTheme="majorHAnsi" w:cstheme="majorHAnsi"/>
          <w:sz w:val="20"/>
        </w:rPr>
        <w:t>Ai = área irregular construída (em m²)</w:t>
      </w: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20"/>
        </w:rPr>
      </w:pPr>
      <w:r w:rsidRPr="00DE3B07">
        <w:rPr>
          <w:rFonts w:asciiTheme="majorHAnsi" w:hAnsiTheme="majorHAnsi" w:cstheme="majorHAnsi"/>
          <w:sz w:val="20"/>
        </w:rPr>
        <w:t xml:space="preserve">I - = índice de proporcionalidade (em </w:t>
      </w:r>
      <w:r>
        <w:rPr>
          <w:rFonts w:asciiTheme="majorHAnsi" w:hAnsiTheme="majorHAnsi" w:cstheme="majorHAnsi"/>
          <w:sz w:val="20"/>
        </w:rPr>
        <w:t>URM</w:t>
      </w:r>
      <w:r w:rsidRPr="00DE3B07">
        <w:rPr>
          <w:rFonts w:asciiTheme="majorHAnsi" w:hAnsiTheme="majorHAnsi" w:cstheme="majorHAnsi"/>
          <w:sz w:val="20"/>
        </w:rPr>
        <w:t>)</w:t>
      </w: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8"/>
          <w:szCs w:val="10"/>
        </w:rPr>
      </w:pP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20"/>
        </w:rPr>
      </w:pPr>
      <w:r w:rsidRPr="00DE3B07">
        <w:rPr>
          <w:rFonts w:asciiTheme="majorHAnsi" w:hAnsiTheme="majorHAnsi" w:cstheme="majorHAnsi"/>
          <w:sz w:val="20"/>
        </w:rPr>
        <w:t xml:space="preserve">§1º Independentemente da atividade, será utilizado o índice de proporcionalidade igual a </w:t>
      </w:r>
      <w:r w:rsidR="00EA70B1">
        <w:rPr>
          <w:rFonts w:asciiTheme="majorHAnsi" w:hAnsiTheme="majorHAnsi" w:cstheme="majorHAnsi"/>
          <w:sz w:val="20"/>
        </w:rPr>
        <w:t>3</w:t>
      </w:r>
      <w:r w:rsidRPr="00DE3B07">
        <w:rPr>
          <w:rFonts w:asciiTheme="majorHAnsi" w:hAnsiTheme="majorHAnsi" w:cstheme="majorHAnsi"/>
          <w:sz w:val="20"/>
        </w:rPr>
        <w:t xml:space="preserve"> </w:t>
      </w:r>
      <w:r w:rsidR="00440E73">
        <w:rPr>
          <w:rFonts w:asciiTheme="majorHAnsi" w:hAnsiTheme="majorHAnsi" w:cstheme="majorHAnsi"/>
          <w:sz w:val="20"/>
        </w:rPr>
        <w:t>(</w:t>
      </w:r>
      <w:r w:rsidR="007A6CD4">
        <w:rPr>
          <w:rFonts w:asciiTheme="majorHAnsi" w:hAnsiTheme="majorHAnsi" w:cstheme="majorHAnsi"/>
          <w:sz w:val="20"/>
        </w:rPr>
        <w:t>três</w:t>
      </w:r>
      <w:r w:rsidR="00440E73">
        <w:rPr>
          <w:rFonts w:asciiTheme="majorHAnsi" w:hAnsiTheme="majorHAnsi" w:cstheme="majorHAnsi"/>
          <w:sz w:val="20"/>
        </w:rPr>
        <w:t xml:space="preserve">) </w:t>
      </w:r>
      <w:r>
        <w:rPr>
          <w:rFonts w:asciiTheme="majorHAnsi" w:hAnsiTheme="majorHAnsi" w:cstheme="majorHAnsi"/>
          <w:sz w:val="20"/>
        </w:rPr>
        <w:t>unidades de referência municipal (URM)</w:t>
      </w:r>
      <w:r w:rsidRPr="00DE3B07">
        <w:rPr>
          <w:rFonts w:asciiTheme="majorHAnsi" w:hAnsiTheme="majorHAnsi" w:cstheme="majorHAnsi"/>
          <w:sz w:val="20"/>
        </w:rPr>
        <w:t>.</w:t>
      </w: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2"/>
          <w:szCs w:val="4"/>
        </w:rPr>
      </w:pP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20"/>
        </w:rPr>
      </w:pPr>
      <w:r w:rsidRPr="00DE3B07">
        <w:rPr>
          <w:rFonts w:asciiTheme="majorHAnsi" w:hAnsiTheme="majorHAnsi" w:cstheme="majorHAnsi"/>
          <w:sz w:val="20"/>
        </w:rPr>
        <w:t>§2º Edificações habitacionais unifamiliares irregulares com área total de até 70,00m² (setenta metros quadrados) utilizarão índice de proporcionalidade igual a zero.</w:t>
      </w: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2"/>
          <w:szCs w:val="4"/>
        </w:rPr>
      </w:pPr>
    </w:p>
    <w:p w:rsidR="00175EAA" w:rsidRPr="00DE3B07" w:rsidRDefault="00175EAA" w:rsidP="00175EAA">
      <w:pPr>
        <w:spacing w:after="0" w:line="276" w:lineRule="auto"/>
        <w:jc w:val="both"/>
        <w:rPr>
          <w:rFonts w:asciiTheme="majorHAnsi" w:hAnsiTheme="majorHAnsi" w:cstheme="majorHAnsi"/>
          <w:sz w:val="20"/>
        </w:rPr>
      </w:pPr>
      <w:r w:rsidRPr="00DE3B07">
        <w:rPr>
          <w:rFonts w:asciiTheme="majorHAnsi" w:hAnsiTheme="majorHAnsi" w:cstheme="majorHAnsi"/>
          <w:sz w:val="20"/>
        </w:rPr>
        <w:t xml:space="preserve">§3º As edificações regularizadas enquadradas no art. 4º, independentemente da atividade, utilizarão o índice de proporcionalidade igual a </w:t>
      </w:r>
      <w:r w:rsidRPr="00175EAA">
        <w:rPr>
          <w:rFonts w:asciiTheme="majorHAnsi" w:hAnsiTheme="majorHAnsi" w:cstheme="majorHAnsi"/>
          <w:sz w:val="20"/>
        </w:rPr>
        <w:t>10 (dez)</w:t>
      </w:r>
      <w:r w:rsidRPr="00DE3B07">
        <w:rPr>
          <w:rFonts w:asciiTheme="majorHAnsi" w:hAnsiTheme="majorHAnsi" w:cstheme="majorHAnsi"/>
          <w:sz w:val="20"/>
        </w:rPr>
        <w:t xml:space="preserve"> </w:t>
      </w:r>
      <w:r>
        <w:rPr>
          <w:rFonts w:asciiTheme="majorHAnsi" w:hAnsiTheme="majorHAnsi" w:cstheme="majorHAnsi"/>
          <w:sz w:val="20"/>
        </w:rPr>
        <w:t xml:space="preserve">unidades de referência municipal (URM) </w:t>
      </w:r>
      <w:r w:rsidRPr="00DE3B07">
        <w:rPr>
          <w:rFonts w:asciiTheme="majorHAnsi" w:hAnsiTheme="majorHAnsi" w:cstheme="majorHAnsi"/>
          <w:sz w:val="20"/>
        </w:rPr>
        <w:t>sobre a parcela de área</w:t>
      </w:r>
      <w:r>
        <w:rPr>
          <w:rFonts w:asciiTheme="majorHAnsi" w:hAnsiTheme="majorHAnsi" w:cstheme="majorHAnsi"/>
          <w:sz w:val="20"/>
        </w:rPr>
        <w:t xml:space="preserve"> </w:t>
      </w:r>
      <w:r w:rsidRPr="00DE3B07">
        <w:rPr>
          <w:rFonts w:asciiTheme="majorHAnsi" w:hAnsiTheme="majorHAnsi" w:cstheme="majorHAnsi"/>
          <w:sz w:val="20"/>
        </w:rPr>
        <w:t>que incidir sobre a previsão de alargamento da via ou extrapolar o alinhamento viário.</w:t>
      </w:r>
      <w:r>
        <w:rPr>
          <w:rFonts w:asciiTheme="majorHAnsi" w:hAnsiTheme="majorHAnsi" w:cstheme="majorHAnsi"/>
          <w:sz w:val="20"/>
        </w:rPr>
        <w:t xml:space="preserve">” </w:t>
      </w:r>
    </w:p>
    <w:p w:rsidR="00175EAA" w:rsidRDefault="00175EAA" w:rsidP="00175EAA">
      <w:pPr>
        <w:tabs>
          <w:tab w:val="left" w:pos="142"/>
        </w:tabs>
        <w:spacing w:line="360" w:lineRule="auto"/>
        <w:rPr>
          <w:rFonts w:asciiTheme="majorHAnsi" w:hAnsiTheme="majorHAnsi" w:cstheme="majorHAnsi"/>
        </w:rPr>
      </w:pPr>
    </w:p>
    <w:p w:rsidR="00175EAA" w:rsidRPr="00513C74" w:rsidRDefault="00175EAA" w:rsidP="00175EAA">
      <w:pPr>
        <w:tabs>
          <w:tab w:val="left" w:pos="142"/>
        </w:tabs>
        <w:spacing w:line="360" w:lineRule="auto"/>
        <w:rPr>
          <w:rFonts w:asciiTheme="majorHAnsi" w:hAnsiTheme="majorHAnsi" w:cstheme="majorHAnsi"/>
          <w:highlight w:val="white"/>
        </w:rPr>
      </w:pPr>
      <w:r>
        <w:rPr>
          <w:rFonts w:asciiTheme="majorHAnsi" w:hAnsiTheme="majorHAnsi" w:cstheme="majorHAnsi"/>
        </w:rPr>
        <w:t xml:space="preserve">Nova Roma do </w:t>
      </w:r>
      <w:r w:rsidR="00BE1C73">
        <w:rPr>
          <w:rFonts w:asciiTheme="majorHAnsi" w:hAnsiTheme="majorHAnsi" w:cstheme="majorHAnsi"/>
        </w:rPr>
        <w:t>Sul</w:t>
      </w:r>
      <w:r w:rsidR="00BE1C73" w:rsidRPr="00794F37">
        <w:rPr>
          <w:rFonts w:asciiTheme="majorHAnsi" w:hAnsiTheme="majorHAnsi" w:cstheme="majorHAnsi"/>
        </w:rPr>
        <w:t>,</w:t>
      </w:r>
      <w:r w:rsidR="00BE1C73">
        <w:rPr>
          <w:rFonts w:asciiTheme="majorHAnsi" w:hAnsiTheme="majorHAnsi" w:cstheme="majorHAnsi"/>
        </w:rPr>
        <w:t xml:space="preserve"> 05 </w:t>
      </w:r>
      <w:r>
        <w:rPr>
          <w:rFonts w:asciiTheme="majorHAnsi" w:hAnsiTheme="majorHAnsi" w:cstheme="majorHAnsi"/>
        </w:rPr>
        <w:t>de abril de 2021</w:t>
      </w:r>
      <w:r w:rsidRPr="00794F37">
        <w:rPr>
          <w:rFonts w:asciiTheme="majorHAnsi" w:hAnsiTheme="majorHAnsi" w:cstheme="majorHAnsi"/>
          <w:highlight w:val="white"/>
        </w:rPr>
        <w:t>.</w:t>
      </w:r>
    </w:p>
    <w:p w:rsidR="00175EAA" w:rsidRDefault="00175EAA" w:rsidP="00175EAA">
      <w:pPr>
        <w:spacing w:after="120"/>
        <w:rPr>
          <w:rFonts w:asciiTheme="majorHAnsi" w:hAnsiTheme="majorHAnsi" w:cstheme="majorHAnsi"/>
          <w:b/>
        </w:rPr>
      </w:pPr>
    </w:p>
    <w:p w:rsidR="00B66009" w:rsidRDefault="00B66009" w:rsidP="00175EAA">
      <w:pPr>
        <w:spacing w:after="120"/>
        <w:rPr>
          <w:rFonts w:asciiTheme="majorHAnsi" w:hAnsiTheme="majorHAnsi" w:cstheme="majorHAnsi"/>
          <w:b/>
        </w:rPr>
      </w:pPr>
    </w:p>
    <w:p w:rsidR="00175EAA" w:rsidRPr="00195252" w:rsidRDefault="00175EAA" w:rsidP="00B66009">
      <w:pPr>
        <w:spacing w:after="120"/>
        <w:jc w:val="center"/>
        <w:rPr>
          <w:rFonts w:asciiTheme="majorHAnsi" w:hAnsiTheme="majorHAnsi" w:cstheme="majorHAnsi"/>
        </w:rPr>
      </w:pPr>
      <w:r w:rsidRPr="00195252">
        <w:rPr>
          <w:rFonts w:asciiTheme="majorHAnsi" w:hAnsiTheme="majorHAnsi" w:cstheme="majorHAnsi"/>
        </w:rPr>
        <w:t>Relator</w:t>
      </w:r>
    </w:p>
    <w:p w:rsidR="00175EAA" w:rsidRDefault="00175EAA" w:rsidP="00175EA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175EAA" w:rsidRDefault="00175EAA" w:rsidP="00175EAA">
      <w:pPr>
        <w:spacing w:after="120"/>
        <w:jc w:val="center"/>
        <w:rPr>
          <w:rFonts w:asciiTheme="majorHAnsi" w:hAnsiTheme="majorHAnsi" w:cstheme="majorHAnsi"/>
          <w:b/>
        </w:rPr>
      </w:pPr>
    </w:p>
    <w:p w:rsidR="00175EAA" w:rsidRPr="00794F37" w:rsidRDefault="00175EAA" w:rsidP="00175EAA">
      <w:pPr>
        <w:spacing w:after="120"/>
        <w:jc w:val="center"/>
        <w:rPr>
          <w:rFonts w:asciiTheme="majorHAnsi" w:hAnsiTheme="majorHAnsi" w:cstheme="majorHAnsi"/>
          <w:b/>
        </w:rPr>
      </w:pPr>
      <w:r w:rsidRPr="00794F37">
        <w:rPr>
          <w:rFonts w:asciiTheme="majorHAnsi" w:hAnsiTheme="majorHAnsi" w:cstheme="majorHAnsi"/>
          <w:b/>
        </w:rPr>
        <w:t>JUSTIFICATIVA</w:t>
      </w:r>
    </w:p>
    <w:p w:rsidR="00175EAA" w:rsidRPr="00794F37" w:rsidRDefault="00175EAA" w:rsidP="00175EAA">
      <w:pPr>
        <w:spacing w:after="120"/>
        <w:ind w:firstLine="2268"/>
        <w:rPr>
          <w:rFonts w:asciiTheme="majorHAnsi" w:hAnsiTheme="majorHAnsi" w:cstheme="majorHAnsi"/>
          <w:b/>
        </w:rPr>
      </w:pPr>
    </w:p>
    <w:p w:rsidR="00175EAA" w:rsidRDefault="00175EAA" w:rsidP="00175EAA">
      <w:pPr>
        <w:spacing w:after="120"/>
        <w:ind w:firstLine="720"/>
        <w:jc w:val="both"/>
        <w:rPr>
          <w:rFonts w:asciiTheme="majorHAnsi" w:hAnsiTheme="majorHAnsi" w:cstheme="majorHAnsi"/>
        </w:rPr>
      </w:pPr>
    </w:p>
    <w:p w:rsidR="00175EAA" w:rsidRDefault="00175EAA" w:rsidP="00175EAA">
      <w:pPr>
        <w:spacing w:after="120" w:line="360" w:lineRule="auto"/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Considerando que o projeto de lei nº 1.527/2021 venha proporcionar a regularização de imóveis irregulares construídos anteriormente ao ano de 2007, é pertinente que a taxa de regularização proposta acompanhe a padronização da unidade de referência do município (URM) ao qual está indexada ao IPCA, acompanhando assim a correção da inflação com o passar do tempo. </w:t>
      </w:r>
    </w:p>
    <w:p w:rsidR="00175EAA" w:rsidRDefault="00597D9F" w:rsidP="006654B7">
      <w:pPr>
        <w:spacing w:after="120" w:line="360" w:lineRule="auto"/>
        <w:ind w:firstLine="720"/>
        <w:jc w:val="both"/>
      </w:pPr>
      <w:r>
        <w:rPr>
          <w:rFonts w:asciiTheme="majorHAnsi" w:hAnsiTheme="majorHAnsi" w:cstheme="majorHAnsi"/>
        </w:rPr>
        <w:t xml:space="preserve">Em tempo ressalta-se para nivelamento de informação, que conforme o </w:t>
      </w:r>
      <w:r w:rsidR="00175EAA">
        <w:rPr>
          <w:rFonts w:asciiTheme="majorHAnsi" w:hAnsiTheme="majorHAnsi" w:cstheme="majorHAnsi"/>
        </w:rPr>
        <w:t xml:space="preserve">decreto municipal n° 1.727/2021 </w:t>
      </w:r>
      <w:r w:rsidR="006654B7">
        <w:rPr>
          <w:rFonts w:asciiTheme="majorHAnsi" w:hAnsiTheme="majorHAnsi" w:cstheme="majorHAnsi"/>
        </w:rPr>
        <w:t xml:space="preserve">a URM </w:t>
      </w:r>
      <w:r>
        <w:rPr>
          <w:rFonts w:asciiTheme="majorHAnsi" w:hAnsiTheme="majorHAnsi" w:cstheme="majorHAnsi"/>
        </w:rPr>
        <w:t xml:space="preserve">tem valor atual de </w:t>
      </w:r>
      <w:r w:rsidR="006654B7">
        <w:rPr>
          <w:rFonts w:asciiTheme="majorHAnsi" w:hAnsiTheme="majorHAnsi" w:cstheme="majorHAnsi"/>
        </w:rPr>
        <w:t>R$ 03,73</w:t>
      </w:r>
      <w:r>
        <w:rPr>
          <w:rFonts w:asciiTheme="majorHAnsi" w:hAnsiTheme="majorHAnsi" w:cstheme="majorHAnsi"/>
        </w:rPr>
        <w:t xml:space="preserve"> no ano de 2021. </w:t>
      </w:r>
    </w:p>
    <w:p w:rsidR="00676596" w:rsidRDefault="00676596"/>
    <w:sectPr w:rsidR="00676596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CC2" w:rsidRDefault="00FD0CC2">
      <w:pPr>
        <w:spacing w:after="0" w:line="240" w:lineRule="auto"/>
      </w:pPr>
      <w:r>
        <w:separator/>
      </w:r>
    </w:p>
  </w:endnote>
  <w:endnote w:type="continuationSeparator" w:id="0">
    <w:p w:rsidR="00FD0CC2" w:rsidRDefault="00FD0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6654B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6654B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CC2" w:rsidRDefault="00FD0CC2">
      <w:pPr>
        <w:spacing w:after="0" w:line="240" w:lineRule="auto"/>
      </w:pPr>
      <w:r>
        <w:separator/>
      </w:r>
    </w:p>
  </w:footnote>
  <w:footnote w:type="continuationSeparator" w:id="0">
    <w:p w:rsidR="00FD0CC2" w:rsidRDefault="00FD0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6654B7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5471FAEE" wp14:editId="33B461C4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EAA"/>
    <w:rsid w:val="00175EAA"/>
    <w:rsid w:val="00221660"/>
    <w:rsid w:val="002B4E6A"/>
    <w:rsid w:val="00440E73"/>
    <w:rsid w:val="00597D9F"/>
    <w:rsid w:val="006654B7"/>
    <w:rsid w:val="00676596"/>
    <w:rsid w:val="007A6CD4"/>
    <w:rsid w:val="007B70EA"/>
    <w:rsid w:val="008432E5"/>
    <w:rsid w:val="00854C6B"/>
    <w:rsid w:val="00B66009"/>
    <w:rsid w:val="00B7695A"/>
    <w:rsid w:val="00BE1C73"/>
    <w:rsid w:val="00EA70B1"/>
    <w:rsid w:val="00FD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4F422-F24A-4E4D-8A2D-200C19022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5EA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75E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5EAA"/>
  </w:style>
  <w:style w:type="paragraph" w:styleId="Rodap">
    <w:name w:val="footer"/>
    <w:basedOn w:val="Normal"/>
    <w:link w:val="RodapChar"/>
    <w:uiPriority w:val="99"/>
    <w:unhideWhenUsed/>
    <w:rsid w:val="00175E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EAA"/>
  </w:style>
  <w:style w:type="paragraph" w:styleId="Textodebalo">
    <w:name w:val="Balloon Text"/>
    <w:basedOn w:val="Normal"/>
    <w:link w:val="TextodebaloChar"/>
    <w:uiPriority w:val="99"/>
    <w:semiHidden/>
    <w:unhideWhenUsed/>
    <w:rsid w:val="00221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6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306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</dc:creator>
  <cp:keywords/>
  <dc:description/>
  <cp:lastModifiedBy>Conta da Microsoft</cp:lastModifiedBy>
  <cp:revision>3</cp:revision>
  <cp:lastPrinted>2021-04-08T16:50:00Z</cp:lastPrinted>
  <dcterms:created xsi:type="dcterms:W3CDTF">2021-04-07T17:02:00Z</dcterms:created>
  <dcterms:modified xsi:type="dcterms:W3CDTF">2021-04-08T16:53:00Z</dcterms:modified>
</cp:coreProperties>
</file>